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23472" w14:textId="77777777" w:rsidR="00A82AF5" w:rsidRPr="00A82AF5" w:rsidRDefault="00A82AF5" w:rsidP="00A82AF5">
      <w:pPr>
        <w:spacing w:after="0" w:line="240" w:lineRule="auto"/>
        <w:rPr>
          <w:rFonts w:ascii="Arial" w:eastAsia="Times New Roman" w:hAnsi="Arial" w:cs="Times New Roman"/>
          <w:sz w:val="20"/>
          <w:szCs w:val="24"/>
          <w:lang w:eastAsia="en-GB"/>
        </w:rPr>
      </w:pPr>
    </w:p>
    <w:tbl>
      <w:tblPr>
        <w:tblStyle w:val="TableGrid1"/>
        <w:tblW w:w="0" w:type="auto"/>
        <w:tblLayout w:type="fixed"/>
        <w:tblLook w:val="04A0" w:firstRow="1" w:lastRow="0" w:firstColumn="1" w:lastColumn="0" w:noHBand="0" w:noVBand="1"/>
      </w:tblPr>
      <w:tblGrid>
        <w:gridCol w:w="1696"/>
        <w:gridCol w:w="2835"/>
        <w:gridCol w:w="284"/>
        <w:gridCol w:w="1276"/>
        <w:gridCol w:w="2835"/>
      </w:tblGrid>
      <w:tr w:rsidR="00364659" w:rsidRPr="00A40FC2" w14:paraId="56395A22" w14:textId="1A87D711" w:rsidTr="00A40FC2">
        <w:trPr>
          <w:trHeight w:val="475"/>
        </w:trPr>
        <w:tc>
          <w:tcPr>
            <w:tcW w:w="4531" w:type="dxa"/>
            <w:gridSpan w:val="2"/>
            <w:tcBorders>
              <w:bottom w:val="single" w:sz="4" w:space="0" w:color="auto"/>
            </w:tcBorders>
          </w:tcPr>
          <w:p w14:paraId="0E5B0E1E" w14:textId="2407F414" w:rsidR="00364659" w:rsidRPr="00A40FC2" w:rsidRDefault="00364659" w:rsidP="00364659">
            <w:pPr>
              <w:rPr>
                <w:rFonts w:ascii="Arial" w:eastAsia="Calibri" w:hAnsi="Arial" w:cs="Arial"/>
                <w:b/>
                <w:bCs/>
                <w:sz w:val="16"/>
                <w:szCs w:val="16"/>
                <w:lang w:val="uk" w:eastAsia="en-GB"/>
              </w:rPr>
            </w:pPr>
            <w:r w:rsidRPr="00A40FC2">
              <w:rPr>
                <w:rFonts w:ascii="Arial" w:eastAsia="Times New Roman" w:hAnsi="Arial" w:cs="Arial"/>
                <w:caps/>
                <w:sz w:val="20"/>
                <w:szCs w:val="24"/>
                <w:lang w:val="uk" w:eastAsia="en-GB"/>
              </w:rPr>
              <w:t>Додаток VII: підстави для виключення</w:t>
            </w:r>
          </w:p>
        </w:tc>
        <w:tc>
          <w:tcPr>
            <w:tcW w:w="284" w:type="dxa"/>
            <w:tcBorders>
              <w:top w:val="nil"/>
              <w:bottom w:val="nil"/>
            </w:tcBorders>
          </w:tcPr>
          <w:p w14:paraId="72B96F18" w14:textId="77777777" w:rsidR="00364659" w:rsidRPr="00A40FC2" w:rsidRDefault="00364659" w:rsidP="00364659">
            <w:pPr>
              <w:rPr>
                <w:rFonts w:ascii="Arial" w:eastAsia="Times New Roman" w:hAnsi="Arial" w:cs="Arial"/>
                <w:caps/>
                <w:sz w:val="20"/>
                <w:szCs w:val="24"/>
                <w:lang w:val="uk" w:eastAsia="en-GB"/>
              </w:rPr>
            </w:pPr>
          </w:p>
        </w:tc>
        <w:tc>
          <w:tcPr>
            <w:tcW w:w="4111" w:type="dxa"/>
            <w:gridSpan w:val="2"/>
            <w:tcBorders>
              <w:bottom w:val="single" w:sz="4" w:space="0" w:color="auto"/>
            </w:tcBorders>
          </w:tcPr>
          <w:p w14:paraId="68525614" w14:textId="69890365" w:rsidR="00364659" w:rsidRPr="00A40FC2" w:rsidRDefault="00364659" w:rsidP="00364659">
            <w:pPr>
              <w:rPr>
                <w:rFonts w:ascii="Arial" w:eastAsia="Times New Roman" w:hAnsi="Arial" w:cs="Arial"/>
                <w:caps/>
                <w:sz w:val="20"/>
                <w:szCs w:val="24"/>
                <w:lang w:val="uk" w:eastAsia="en-GB"/>
              </w:rPr>
            </w:pPr>
            <w:r w:rsidRPr="00A40FC2">
              <w:rPr>
                <w:rFonts w:ascii="Arial" w:eastAsia="Times New Roman" w:hAnsi="Arial" w:cs="Arial"/>
                <w:caps/>
                <w:sz w:val="20"/>
                <w:szCs w:val="24"/>
                <w:lang w:eastAsia="en-GB"/>
              </w:rPr>
              <w:t>Annexe VII: exclusion Grounds</w:t>
            </w:r>
          </w:p>
        </w:tc>
      </w:tr>
      <w:tr w:rsidR="00364659" w:rsidRPr="00A40FC2" w14:paraId="1A59EEE2" w14:textId="39BD323B" w:rsidTr="00A40FC2">
        <w:trPr>
          <w:trHeight w:val="128"/>
        </w:trPr>
        <w:tc>
          <w:tcPr>
            <w:tcW w:w="4531" w:type="dxa"/>
            <w:gridSpan w:val="2"/>
            <w:tcBorders>
              <w:left w:val="nil"/>
              <w:right w:val="nil"/>
            </w:tcBorders>
          </w:tcPr>
          <w:p w14:paraId="297576C3" w14:textId="77777777" w:rsidR="00364659" w:rsidRPr="00A40FC2" w:rsidRDefault="00364659" w:rsidP="00364659">
            <w:pPr>
              <w:rPr>
                <w:rFonts w:ascii="Arial" w:eastAsia="Calibri" w:hAnsi="Arial" w:cs="Arial"/>
                <w:b/>
                <w:bCs/>
                <w:sz w:val="16"/>
                <w:szCs w:val="16"/>
                <w:lang w:val="uk" w:eastAsia="en-GB"/>
              </w:rPr>
            </w:pPr>
          </w:p>
        </w:tc>
        <w:tc>
          <w:tcPr>
            <w:tcW w:w="284" w:type="dxa"/>
            <w:tcBorders>
              <w:top w:val="nil"/>
              <w:left w:val="nil"/>
              <w:bottom w:val="nil"/>
              <w:right w:val="nil"/>
            </w:tcBorders>
          </w:tcPr>
          <w:p w14:paraId="3294AB95" w14:textId="77777777" w:rsidR="00364659" w:rsidRPr="00A40FC2" w:rsidRDefault="00364659" w:rsidP="00364659">
            <w:pPr>
              <w:rPr>
                <w:rFonts w:ascii="Arial" w:eastAsia="Calibri" w:hAnsi="Arial" w:cs="Arial"/>
                <w:b/>
                <w:bCs/>
                <w:sz w:val="16"/>
                <w:szCs w:val="16"/>
                <w:lang w:val="uk" w:eastAsia="en-GB"/>
              </w:rPr>
            </w:pPr>
          </w:p>
        </w:tc>
        <w:tc>
          <w:tcPr>
            <w:tcW w:w="4111" w:type="dxa"/>
            <w:gridSpan w:val="2"/>
            <w:tcBorders>
              <w:left w:val="nil"/>
              <w:right w:val="nil"/>
            </w:tcBorders>
          </w:tcPr>
          <w:p w14:paraId="2A3CC9AB" w14:textId="77777777" w:rsidR="00364659" w:rsidRPr="00A40FC2" w:rsidRDefault="00364659" w:rsidP="00364659">
            <w:pPr>
              <w:rPr>
                <w:rFonts w:ascii="Arial" w:eastAsia="Calibri" w:hAnsi="Arial" w:cs="Arial"/>
                <w:b/>
                <w:bCs/>
                <w:sz w:val="16"/>
                <w:szCs w:val="16"/>
                <w:lang w:val="uk" w:eastAsia="en-GB"/>
              </w:rPr>
            </w:pPr>
          </w:p>
        </w:tc>
      </w:tr>
      <w:tr w:rsidR="00364659" w:rsidRPr="00A40FC2" w14:paraId="6BBA530D" w14:textId="79115C7D" w:rsidTr="00A40FC2">
        <w:trPr>
          <w:trHeight w:val="475"/>
        </w:trPr>
        <w:tc>
          <w:tcPr>
            <w:tcW w:w="4531" w:type="dxa"/>
            <w:gridSpan w:val="2"/>
            <w:hideMark/>
          </w:tcPr>
          <w:p w14:paraId="20DA2496" w14:textId="2E6D9C2E" w:rsidR="00364659" w:rsidRPr="00A40FC2" w:rsidRDefault="00364659" w:rsidP="00364659">
            <w:pPr>
              <w:rPr>
                <w:rFonts w:ascii="Arial" w:eastAsia="Calibri" w:hAnsi="Arial" w:cs="Arial"/>
                <w:b/>
                <w:bCs/>
                <w:sz w:val="16"/>
                <w:szCs w:val="16"/>
                <w:lang w:eastAsia="en-GB"/>
              </w:rPr>
            </w:pPr>
            <w:r w:rsidRPr="00A40FC2">
              <w:rPr>
                <w:rFonts w:ascii="Arial" w:eastAsia="Calibri" w:hAnsi="Arial" w:cs="Arial"/>
                <w:b/>
                <w:bCs/>
                <w:sz w:val="16"/>
                <w:szCs w:val="16"/>
                <w:lang w:val="uk" w:eastAsia="en-GB"/>
              </w:rPr>
              <w:t>Підстави для виключення</w:t>
            </w:r>
          </w:p>
        </w:tc>
        <w:tc>
          <w:tcPr>
            <w:tcW w:w="284" w:type="dxa"/>
            <w:tcBorders>
              <w:top w:val="nil"/>
              <w:bottom w:val="nil"/>
            </w:tcBorders>
          </w:tcPr>
          <w:p w14:paraId="3CF13FA8" w14:textId="77777777" w:rsidR="00364659" w:rsidRPr="00A40FC2" w:rsidRDefault="00364659" w:rsidP="00364659">
            <w:pPr>
              <w:rPr>
                <w:rFonts w:ascii="Arial" w:eastAsia="Calibri" w:hAnsi="Arial" w:cs="Arial"/>
                <w:b/>
                <w:bCs/>
                <w:sz w:val="16"/>
                <w:szCs w:val="16"/>
                <w:lang w:val="uk" w:eastAsia="en-GB"/>
              </w:rPr>
            </w:pPr>
          </w:p>
        </w:tc>
        <w:tc>
          <w:tcPr>
            <w:tcW w:w="4111" w:type="dxa"/>
            <w:gridSpan w:val="2"/>
          </w:tcPr>
          <w:p w14:paraId="2A163088" w14:textId="1F659763" w:rsidR="00364659" w:rsidRPr="00A40FC2" w:rsidRDefault="00364659" w:rsidP="00364659">
            <w:pPr>
              <w:rPr>
                <w:rFonts w:ascii="Arial" w:eastAsia="Calibri" w:hAnsi="Arial" w:cs="Arial"/>
                <w:b/>
                <w:bCs/>
                <w:sz w:val="16"/>
                <w:szCs w:val="16"/>
                <w:lang w:val="uk" w:eastAsia="en-GB"/>
              </w:rPr>
            </w:pPr>
            <w:r w:rsidRPr="00A40FC2">
              <w:rPr>
                <w:rFonts w:ascii="Arial" w:eastAsia="Calibri" w:hAnsi="Arial" w:cs="Arial"/>
                <w:b/>
                <w:bCs/>
                <w:sz w:val="16"/>
                <w:szCs w:val="16"/>
                <w:lang w:eastAsia="en-GB"/>
              </w:rPr>
              <w:t>Exclusion grounds</w:t>
            </w:r>
          </w:p>
        </w:tc>
      </w:tr>
      <w:tr w:rsidR="00364659" w:rsidRPr="00A40FC2" w14:paraId="2088A0D2" w14:textId="30509478" w:rsidTr="00A40FC2">
        <w:trPr>
          <w:trHeight w:val="2835"/>
        </w:trPr>
        <w:tc>
          <w:tcPr>
            <w:tcW w:w="1696" w:type="dxa"/>
            <w:hideMark/>
          </w:tcPr>
          <w:p w14:paraId="6610FB47" w14:textId="77777777" w:rsidR="00364659" w:rsidRPr="00A40FC2" w:rsidRDefault="00364659" w:rsidP="00364659">
            <w:pPr>
              <w:rPr>
                <w:rFonts w:ascii="Arial" w:eastAsia="Calibri" w:hAnsi="Arial" w:cs="Arial"/>
                <w:b/>
                <w:bCs/>
                <w:sz w:val="16"/>
                <w:szCs w:val="16"/>
                <w:lang w:val="ru-RU" w:eastAsia="en-GB"/>
              </w:rPr>
            </w:pPr>
            <w:r w:rsidRPr="00A40FC2">
              <w:rPr>
                <w:rFonts w:ascii="Arial" w:eastAsia="Calibri" w:hAnsi="Arial" w:cs="Arial"/>
                <w:b/>
                <w:bCs/>
                <w:sz w:val="16"/>
                <w:szCs w:val="16"/>
                <w:lang w:val="uk" w:eastAsia="en-GB"/>
              </w:rPr>
              <w:t>1. Обвинувальний вирок, що набрав законної сили</w:t>
            </w:r>
          </w:p>
        </w:tc>
        <w:tc>
          <w:tcPr>
            <w:tcW w:w="2835" w:type="dxa"/>
            <w:hideMark/>
          </w:tcPr>
          <w:p w14:paraId="3484BFD1"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 xml:space="preserve">Контрагент або будь-який його керівник[1] визнаний винним на підставі остаточного </w:t>
            </w:r>
            <w:proofErr w:type="spellStart"/>
            <w:r w:rsidRPr="00A40FC2">
              <w:rPr>
                <w:rFonts w:ascii="Arial" w:eastAsia="Calibri" w:hAnsi="Arial" w:cs="Arial"/>
                <w:sz w:val="16"/>
                <w:szCs w:val="16"/>
                <w:lang w:val="uk" w:eastAsia="en-GB"/>
              </w:rPr>
              <w:t>вироку</w:t>
            </w:r>
            <w:proofErr w:type="spellEnd"/>
            <w:r w:rsidRPr="00A40FC2">
              <w:rPr>
                <w:rFonts w:ascii="Arial" w:eastAsia="Calibri" w:hAnsi="Arial" w:cs="Arial"/>
                <w:sz w:val="16"/>
                <w:szCs w:val="16"/>
                <w:lang w:val="uk" w:eastAsia="en-GB"/>
              </w:rPr>
              <w:t xml:space="preserve"> у вчиненні одного з таких правопорушень:</w:t>
            </w:r>
          </w:p>
          <w:p w14:paraId="63BF736A"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1) участь у злочинній організації;</w:t>
            </w:r>
          </w:p>
          <w:p w14:paraId="42BB9614"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2) корупція;</w:t>
            </w:r>
          </w:p>
          <w:p w14:paraId="31795EAC"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3) шахрайство;</w:t>
            </w:r>
          </w:p>
          <w:p w14:paraId="1831CB6C"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4) терористичні злочини, злочини, пов’язані з терористичною діяльністю або підбурювання до їх вчинення, змова чи спроба вчинення такого злочину;</w:t>
            </w:r>
          </w:p>
          <w:p w14:paraId="4955A708"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5) відмивання коштів або фінансування тероризму;</w:t>
            </w:r>
          </w:p>
          <w:p w14:paraId="75F5AB9B"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6) експлуатація дитячої праці та інші види торгівлі людьми;</w:t>
            </w:r>
          </w:p>
          <w:p w14:paraId="6CC54102"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7) працевлаштування іноземних громадян без легального статусу;</w:t>
            </w:r>
          </w:p>
          <w:p w14:paraId="665BD28D"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8) створення або функціонування фіктивної компанії.</w:t>
            </w:r>
          </w:p>
          <w:p w14:paraId="6BA9498E"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eastAsia="en-GB"/>
              </w:rPr>
              <w:t> </w:t>
            </w:r>
          </w:p>
          <w:p w14:paraId="5877C0B9"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Виключення за цим критерієм застосовується протягом п’яти років від дати набрання судовим рішенням законної сили.</w:t>
            </w:r>
          </w:p>
          <w:p w14:paraId="05296808" w14:textId="77777777" w:rsidR="00364659" w:rsidRPr="00A40FC2" w:rsidRDefault="00364659" w:rsidP="00364659">
            <w:pPr>
              <w:rPr>
                <w:rFonts w:ascii="Arial" w:eastAsia="Calibri" w:hAnsi="Arial" w:cs="Arial"/>
                <w:sz w:val="16"/>
                <w:szCs w:val="16"/>
                <w:lang w:val="ru-RU" w:eastAsia="en-GB"/>
              </w:rPr>
            </w:pPr>
          </w:p>
        </w:tc>
        <w:tc>
          <w:tcPr>
            <w:tcW w:w="284" w:type="dxa"/>
            <w:tcBorders>
              <w:top w:val="nil"/>
              <w:bottom w:val="nil"/>
            </w:tcBorders>
          </w:tcPr>
          <w:p w14:paraId="102C6014" w14:textId="77777777" w:rsidR="00364659" w:rsidRPr="00A40FC2" w:rsidRDefault="00364659" w:rsidP="00364659">
            <w:pPr>
              <w:rPr>
                <w:rFonts w:ascii="Arial" w:eastAsia="Calibri" w:hAnsi="Arial" w:cs="Arial"/>
                <w:sz w:val="16"/>
                <w:szCs w:val="16"/>
                <w:lang w:val="uk" w:eastAsia="en-GB"/>
              </w:rPr>
            </w:pPr>
          </w:p>
        </w:tc>
        <w:tc>
          <w:tcPr>
            <w:tcW w:w="1276" w:type="dxa"/>
          </w:tcPr>
          <w:p w14:paraId="55768722" w14:textId="41ABDDD4" w:rsidR="00364659" w:rsidRPr="00A40FC2" w:rsidRDefault="00364659" w:rsidP="00364659">
            <w:pPr>
              <w:rPr>
                <w:rFonts w:ascii="Arial" w:eastAsia="Calibri" w:hAnsi="Arial" w:cs="Arial"/>
                <w:sz w:val="16"/>
                <w:szCs w:val="16"/>
                <w:lang w:val="uk" w:eastAsia="en-GB"/>
              </w:rPr>
            </w:pPr>
            <w:r w:rsidRPr="00A40FC2">
              <w:rPr>
                <w:rFonts w:ascii="Arial" w:eastAsia="Calibri" w:hAnsi="Arial" w:cs="Arial"/>
                <w:b/>
                <w:bCs/>
                <w:sz w:val="16"/>
                <w:szCs w:val="16"/>
                <w:lang w:eastAsia="en-GB"/>
              </w:rPr>
              <w:t>1)  Condemnation or subject of a conviction by final judgment</w:t>
            </w:r>
          </w:p>
        </w:tc>
        <w:tc>
          <w:tcPr>
            <w:tcW w:w="2835" w:type="dxa"/>
          </w:tcPr>
          <w:p w14:paraId="57BEE6C1"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The counterparty or one of its ‘</w:t>
            </w:r>
            <w:proofErr w:type="gramStart"/>
            <w:r w:rsidRPr="00A40FC2">
              <w:rPr>
                <w:rFonts w:ascii="Arial" w:eastAsia="Calibri" w:hAnsi="Arial" w:cs="Arial"/>
                <w:sz w:val="16"/>
                <w:szCs w:val="16"/>
                <w:lang w:eastAsia="en-GB"/>
              </w:rPr>
              <w:t>directors[</w:t>
            </w:r>
            <w:proofErr w:type="gramEnd"/>
            <w:r w:rsidRPr="00A40FC2">
              <w:rPr>
                <w:rFonts w:ascii="Arial" w:eastAsia="Calibri" w:hAnsi="Arial" w:cs="Arial"/>
                <w:sz w:val="16"/>
                <w:szCs w:val="16"/>
                <w:lang w:eastAsia="en-GB"/>
              </w:rPr>
              <w:t>1]’ was found guilty following an indefeasible judgement for one of the following offences:</w:t>
            </w:r>
          </w:p>
          <w:p w14:paraId="51A76B7B"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1° involvement in a criminal organisation</w:t>
            </w:r>
          </w:p>
          <w:p w14:paraId="1ED320B5"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2° corruption</w:t>
            </w:r>
          </w:p>
          <w:p w14:paraId="249A7D1F"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3° fraud</w:t>
            </w:r>
          </w:p>
          <w:p w14:paraId="55BEDF09"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4° terrorist offences, offences linked related to terrorist activities or incitement to commit such offence, collusion or attempt to commit such an offence</w:t>
            </w:r>
          </w:p>
          <w:p w14:paraId="167F2EC5"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5° money laundering or terrorist financing</w:t>
            </w:r>
          </w:p>
          <w:p w14:paraId="2831EE85"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6° child labour and other trafficking in human beings</w:t>
            </w:r>
          </w:p>
          <w:p w14:paraId="1E982B93"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7° employment of foreign citizens under illegal status</w:t>
            </w:r>
          </w:p>
          <w:p w14:paraId="4ECC7646"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8° creating or being a shell company.</w:t>
            </w:r>
          </w:p>
          <w:p w14:paraId="14E24D66"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 </w:t>
            </w:r>
          </w:p>
          <w:p w14:paraId="48C00018"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The exclusions on the basis of this criterion apply for a 5-year term from the date of judgement.</w:t>
            </w:r>
          </w:p>
          <w:p w14:paraId="1E5C88E0" w14:textId="225FEF92" w:rsidR="00364659" w:rsidRPr="00A40FC2" w:rsidRDefault="00364659" w:rsidP="00364659">
            <w:pPr>
              <w:rPr>
                <w:rFonts w:ascii="Arial" w:eastAsia="Calibri" w:hAnsi="Arial" w:cs="Arial"/>
                <w:sz w:val="16"/>
                <w:szCs w:val="16"/>
                <w:lang w:val="uk" w:eastAsia="en-GB"/>
              </w:rPr>
            </w:pPr>
          </w:p>
        </w:tc>
      </w:tr>
      <w:tr w:rsidR="00364659" w:rsidRPr="00A40FC2" w14:paraId="3EE67ED0" w14:textId="5EFBC593" w:rsidTr="00A40FC2">
        <w:trPr>
          <w:trHeight w:val="1350"/>
        </w:trPr>
        <w:tc>
          <w:tcPr>
            <w:tcW w:w="1696" w:type="dxa"/>
            <w:hideMark/>
          </w:tcPr>
          <w:p w14:paraId="348E6EAF" w14:textId="77777777" w:rsidR="00364659" w:rsidRPr="00A40FC2" w:rsidRDefault="00364659" w:rsidP="00364659">
            <w:pPr>
              <w:rPr>
                <w:rFonts w:ascii="Arial" w:eastAsia="Calibri" w:hAnsi="Arial" w:cs="Arial"/>
                <w:b/>
                <w:bCs/>
                <w:sz w:val="16"/>
                <w:szCs w:val="16"/>
                <w:lang w:val="ru-RU" w:eastAsia="en-GB"/>
              </w:rPr>
            </w:pPr>
            <w:r w:rsidRPr="00A40FC2">
              <w:rPr>
                <w:rFonts w:ascii="Arial" w:eastAsia="Calibri" w:hAnsi="Arial" w:cs="Arial"/>
                <w:b/>
                <w:bCs/>
                <w:sz w:val="16"/>
                <w:szCs w:val="16"/>
                <w:lang w:val="uk" w:eastAsia="en-GB"/>
              </w:rPr>
              <w:t>2. Порушення зобов’язань щодо сплати податків або внесків на соціальне страхування</w:t>
            </w:r>
          </w:p>
        </w:tc>
        <w:tc>
          <w:tcPr>
            <w:tcW w:w="2835" w:type="dxa"/>
            <w:hideMark/>
          </w:tcPr>
          <w:p w14:paraId="5738F39C"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 xml:space="preserve">Контрагент не виконав своїх зобов’язань щодо сплати податків або внесків на соціальне страхування на суму понад 3 тисячі євро, крім випадків, коли він може довести, що замовник заборгував йому одну чи кілька беззаперечних і належних до виплати сум, не обтяжених жодними обумовленими зобов’язаннями. Такі борги становлять щонайменше суму, еквівалентну тій, за якою </w:t>
            </w:r>
            <w:proofErr w:type="spellStart"/>
            <w:r w:rsidRPr="00A40FC2">
              <w:rPr>
                <w:rFonts w:ascii="Arial" w:eastAsia="Calibri" w:hAnsi="Arial" w:cs="Arial"/>
                <w:sz w:val="16"/>
                <w:szCs w:val="16"/>
                <w:lang w:val="uk" w:eastAsia="en-GB"/>
              </w:rPr>
              <w:t>прострочено</w:t>
            </w:r>
            <w:proofErr w:type="spellEnd"/>
            <w:r w:rsidRPr="00A40FC2">
              <w:rPr>
                <w:rFonts w:ascii="Arial" w:eastAsia="Calibri" w:hAnsi="Arial" w:cs="Arial"/>
                <w:sz w:val="16"/>
                <w:szCs w:val="16"/>
                <w:lang w:val="uk" w:eastAsia="en-GB"/>
              </w:rPr>
              <w:t xml:space="preserve"> сплату податкового чи соціального зобов’язання.</w:t>
            </w:r>
          </w:p>
        </w:tc>
        <w:tc>
          <w:tcPr>
            <w:tcW w:w="284" w:type="dxa"/>
            <w:tcBorders>
              <w:top w:val="nil"/>
              <w:bottom w:val="nil"/>
            </w:tcBorders>
          </w:tcPr>
          <w:p w14:paraId="5B56654E" w14:textId="77777777" w:rsidR="00364659" w:rsidRPr="00A40FC2" w:rsidRDefault="00364659" w:rsidP="00364659">
            <w:pPr>
              <w:rPr>
                <w:rFonts w:ascii="Arial" w:eastAsia="Calibri" w:hAnsi="Arial" w:cs="Arial"/>
                <w:sz w:val="16"/>
                <w:szCs w:val="16"/>
                <w:lang w:val="uk" w:eastAsia="en-GB"/>
              </w:rPr>
            </w:pPr>
          </w:p>
        </w:tc>
        <w:tc>
          <w:tcPr>
            <w:tcW w:w="1276" w:type="dxa"/>
          </w:tcPr>
          <w:p w14:paraId="6FF246DA" w14:textId="7969E78D" w:rsidR="00364659" w:rsidRPr="00A40FC2" w:rsidRDefault="00364659" w:rsidP="00364659">
            <w:pPr>
              <w:rPr>
                <w:rFonts w:ascii="Arial" w:eastAsia="Calibri" w:hAnsi="Arial" w:cs="Arial"/>
                <w:sz w:val="16"/>
                <w:szCs w:val="16"/>
                <w:lang w:val="uk" w:eastAsia="en-GB"/>
              </w:rPr>
            </w:pPr>
            <w:r w:rsidRPr="00A40FC2">
              <w:rPr>
                <w:rFonts w:ascii="Arial" w:eastAsia="Calibri" w:hAnsi="Arial" w:cs="Arial"/>
                <w:b/>
                <w:bCs/>
                <w:sz w:val="16"/>
                <w:szCs w:val="16"/>
                <w:lang w:eastAsia="en-GB"/>
              </w:rPr>
              <w:t>2)     Breach of obligations relating to the payment of taxes or social security contributions</w:t>
            </w:r>
          </w:p>
        </w:tc>
        <w:tc>
          <w:tcPr>
            <w:tcW w:w="2835" w:type="dxa"/>
          </w:tcPr>
          <w:p w14:paraId="7BD78E30" w14:textId="08D081D9" w:rsidR="00364659" w:rsidRPr="00A40FC2" w:rsidRDefault="00364659" w:rsidP="00364659">
            <w:pPr>
              <w:rPr>
                <w:rFonts w:ascii="Arial" w:eastAsia="Calibri" w:hAnsi="Arial" w:cs="Arial"/>
                <w:sz w:val="16"/>
                <w:szCs w:val="16"/>
                <w:lang w:val="uk" w:eastAsia="en-GB"/>
              </w:rPr>
            </w:pPr>
            <w:r w:rsidRPr="00A40FC2">
              <w:rPr>
                <w:rFonts w:ascii="Arial" w:eastAsia="Calibri" w:hAnsi="Arial" w:cs="Arial"/>
                <w:sz w:val="16"/>
                <w:szCs w:val="16"/>
                <w:lang w:eastAsia="en-GB"/>
              </w:rPr>
              <w:t>The counterparty which fails to fulfil his obligations relating to the payment of taxes or social security contributions for an amount in excess of EUR 3.000, except if the counterparty can demonstrate that a contracting authority owes him one or more unquestionable and due debts which are free of all foreseeable liabilities. These debts are at least of an amount equal to the one for which he is late in paying outstanding tax or social charges.</w:t>
            </w:r>
          </w:p>
        </w:tc>
      </w:tr>
      <w:tr w:rsidR="00364659" w:rsidRPr="00A40FC2" w14:paraId="1219D3DD" w14:textId="1776B5F6" w:rsidTr="00A40FC2">
        <w:trPr>
          <w:trHeight w:val="1395"/>
        </w:trPr>
        <w:tc>
          <w:tcPr>
            <w:tcW w:w="1696" w:type="dxa"/>
            <w:hideMark/>
          </w:tcPr>
          <w:p w14:paraId="2B9BD4EB" w14:textId="77777777" w:rsidR="00364659" w:rsidRPr="003E7A6D" w:rsidRDefault="00364659" w:rsidP="00364659">
            <w:pPr>
              <w:rPr>
                <w:rFonts w:ascii="Arial" w:eastAsia="Calibri" w:hAnsi="Arial" w:cs="Arial"/>
                <w:b/>
                <w:bCs/>
                <w:sz w:val="16"/>
                <w:szCs w:val="16"/>
                <w:lang w:eastAsia="en-GB"/>
              </w:rPr>
            </w:pPr>
            <w:r w:rsidRPr="00A40FC2">
              <w:rPr>
                <w:rFonts w:ascii="Arial" w:eastAsia="Calibri" w:hAnsi="Arial" w:cs="Arial"/>
                <w:b/>
                <w:bCs/>
                <w:sz w:val="16"/>
                <w:szCs w:val="16"/>
                <w:lang w:val="uk" w:eastAsia="en-GB"/>
              </w:rPr>
              <w:t>3. Банкрутство, ліквідація, припинення діяльності тощо</w:t>
            </w:r>
          </w:p>
        </w:tc>
        <w:tc>
          <w:tcPr>
            <w:tcW w:w="2835" w:type="dxa"/>
            <w:hideMark/>
          </w:tcPr>
          <w:p w14:paraId="14440FAB" w14:textId="77777777" w:rsidR="00364659" w:rsidRPr="003E7A6D" w:rsidRDefault="00364659" w:rsidP="00364659">
            <w:pPr>
              <w:rPr>
                <w:rFonts w:ascii="Arial" w:eastAsia="Calibri" w:hAnsi="Arial" w:cs="Arial"/>
                <w:sz w:val="16"/>
                <w:szCs w:val="16"/>
                <w:lang w:eastAsia="en-GB"/>
              </w:rPr>
            </w:pPr>
            <w:r w:rsidRPr="00A40FC2">
              <w:rPr>
                <w:rFonts w:ascii="Arial" w:eastAsia="Calibri" w:hAnsi="Arial" w:cs="Arial"/>
                <w:sz w:val="16"/>
                <w:szCs w:val="16"/>
                <w:lang w:val="uk" w:eastAsia="en-GB"/>
              </w:rPr>
              <w:t>Контрагент перебуває у процедурі банкрутства, ліквідації, припинення діяльності, судової реорганізації, визнав себе банкрутом, є об’єктом процедури ліквідації або судової реорганізації, або перебуває в будь-якій подібній ситуації, що виникає внаслідок аналогічної процедури, передбаченої іншими національними нормативними актами.</w:t>
            </w:r>
          </w:p>
        </w:tc>
        <w:tc>
          <w:tcPr>
            <w:tcW w:w="284" w:type="dxa"/>
            <w:tcBorders>
              <w:top w:val="nil"/>
              <w:bottom w:val="nil"/>
            </w:tcBorders>
          </w:tcPr>
          <w:p w14:paraId="730DD170" w14:textId="77777777" w:rsidR="00364659" w:rsidRPr="00A40FC2" w:rsidRDefault="00364659" w:rsidP="00364659">
            <w:pPr>
              <w:rPr>
                <w:rFonts w:ascii="Arial" w:eastAsia="Calibri" w:hAnsi="Arial" w:cs="Arial"/>
                <w:sz w:val="16"/>
                <w:szCs w:val="16"/>
                <w:lang w:val="uk" w:eastAsia="en-GB"/>
              </w:rPr>
            </w:pPr>
          </w:p>
        </w:tc>
        <w:tc>
          <w:tcPr>
            <w:tcW w:w="1276" w:type="dxa"/>
          </w:tcPr>
          <w:p w14:paraId="2817E3C6" w14:textId="6EE50EBF" w:rsidR="00364659" w:rsidRPr="00A40FC2" w:rsidRDefault="00364659" w:rsidP="00364659">
            <w:pPr>
              <w:rPr>
                <w:rFonts w:ascii="Arial" w:eastAsia="Calibri" w:hAnsi="Arial" w:cs="Arial"/>
                <w:sz w:val="16"/>
                <w:szCs w:val="16"/>
                <w:lang w:val="uk" w:eastAsia="en-GB"/>
              </w:rPr>
            </w:pPr>
            <w:r w:rsidRPr="00A40FC2">
              <w:rPr>
                <w:rFonts w:ascii="Arial" w:eastAsia="Calibri" w:hAnsi="Arial" w:cs="Arial"/>
                <w:b/>
                <w:bCs/>
                <w:sz w:val="16"/>
                <w:szCs w:val="16"/>
                <w:lang w:eastAsia="en-GB"/>
              </w:rPr>
              <w:t>3) Bankruptcy, liquidation, cessation of activities…</w:t>
            </w:r>
          </w:p>
        </w:tc>
        <w:tc>
          <w:tcPr>
            <w:tcW w:w="2835" w:type="dxa"/>
          </w:tcPr>
          <w:p w14:paraId="402F4ED9" w14:textId="42120F3D" w:rsidR="00364659" w:rsidRPr="00A40FC2" w:rsidRDefault="00364659" w:rsidP="00364659">
            <w:pPr>
              <w:rPr>
                <w:rFonts w:ascii="Arial" w:eastAsia="Calibri" w:hAnsi="Arial" w:cs="Arial"/>
                <w:sz w:val="16"/>
                <w:szCs w:val="16"/>
                <w:lang w:val="uk" w:eastAsia="en-GB"/>
              </w:rPr>
            </w:pPr>
            <w:r w:rsidRPr="00A40FC2">
              <w:rPr>
                <w:rFonts w:ascii="Arial" w:eastAsia="Calibri" w:hAnsi="Arial" w:cs="Arial"/>
                <w:sz w:val="16"/>
                <w:szCs w:val="16"/>
                <w:lang w:eastAsia="en-GB"/>
              </w:rPr>
              <w:t>The counterparty who is in a state of bankruptcy, liquidation, cessation of activities, judicial reorganisation or has admitted bankruptcy or is the subject of a liquidation procedure or judicial reorganisation, or in any similar situation resulting from a procedure of the same kind existing under other national regulations;</w:t>
            </w:r>
          </w:p>
        </w:tc>
      </w:tr>
      <w:tr w:rsidR="00364659" w:rsidRPr="00A40FC2" w14:paraId="202732EF" w14:textId="71F0A250" w:rsidTr="00A40FC2">
        <w:trPr>
          <w:trHeight w:val="540"/>
        </w:trPr>
        <w:tc>
          <w:tcPr>
            <w:tcW w:w="1696" w:type="dxa"/>
            <w:hideMark/>
          </w:tcPr>
          <w:p w14:paraId="03E1765E" w14:textId="77777777" w:rsidR="00364659" w:rsidRPr="00A40FC2" w:rsidRDefault="00364659" w:rsidP="00364659">
            <w:pPr>
              <w:rPr>
                <w:rFonts w:ascii="Arial" w:eastAsia="Calibri" w:hAnsi="Arial" w:cs="Arial"/>
                <w:b/>
                <w:bCs/>
                <w:sz w:val="16"/>
                <w:szCs w:val="16"/>
                <w:lang w:val="ru-RU" w:eastAsia="en-GB"/>
              </w:rPr>
            </w:pPr>
            <w:r w:rsidRPr="00A40FC2">
              <w:rPr>
                <w:rFonts w:ascii="Arial" w:eastAsia="Calibri" w:hAnsi="Arial" w:cs="Arial"/>
                <w:b/>
                <w:bCs/>
                <w:sz w:val="16"/>
                <w:szCs w:val="16"/>
                <w:lang w:val="uk" w:eastAsia="en-GB"/>
              </w:rPr>
              <w:t xml:space="preserve">4. Професійна недоброчесна поведінка, зокрема: </w:t>
            </w:r>
          </w:p>
          <w:p w14:paraId="7B86A6A6" w14:textId="77777777" w:rsidR="00364659" w:rsidRPr="00A40FC2" w:rsidRDefault="00364659" w:rsidP="00364659">
            <w:pPr>
              <w:rPr>
                <w:rFonts w:ascii="Arial" w:eastAsia="Calibri" w:hAnsi="Arial" w:cs="Arial"/>
                <w:sz w:val="16"/>
                <w:szCs w:val="16"/>
                <w:lang w:val="ru-RU" w:eastAsia="en-GB"/>
              </w:rPr>
            </w:pPr>
          </w:p>
          <w:p w14:paraId="77B4187A"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 xml:space="preserve">- сексуальне насильство та/або експлуатація; </w:t>
            </w:r>
          </w:p>
          <w:p w14:paraId="531BE8FF"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lastRenderedPageBreak/>
              <w:t xml:space="preserve">- випадки шахрайства; </w:t>
            </w:r>
          </w:p>
          <w:p w14:paraId="70C64F08"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 xml:space="preserve">- випадки сексуальних домагань; </w:t>
            </w:r>
          </w:p>
          <w:p w14:paraId="02D2E24B"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val="uk" w:eastAsia="en-GB"/>
              </w:rPr>
              <w:t>- неправдиві заяви;</w:t>
            </w:r>
          </w:p>
          <w:p w14:paraId="6F3FF870" w14:textId="77777777" w:rsidR="00364659" w:rsidRPr="00A40FC2" w:rsidRDefault="00364659" w:rsidP="00364659">
            <w:pPr>
              <w:rPr>
                <w:rFonts w:ascii="Arial" w:eastAsia="Calibri" w:hAnsi="Arial" w:cs="Arial"/>
                <w:b/>
                <w:bCs/>
                <w:sz w:val="16"/>
                <w:szCs w:val="16"/>
                <w:lang w:eastAsia="en-GB"/>
              </w:rPr>
            </w:pPr>
            <w:r w:rsidRPr="00A40FC2">
              <w:rPr>
                <w:rFonts w:ascii="Arial" w:eastAsia="Calibri" w:hAnsi="Arial" w:cs="Arial"/>
                <w:sz w:val="16"/>
                <w:szCs w:val="16"/>
                <w:lang w:val="uk" w:eastAsia="en-GB"/>
              </w:rPr>
              <w:t>- недобросовісна конкуренція.</w:t>
            </w:r>
          </w:p>
        </w:tc>
        <w:tc>
          <w:tcPr>
            <w:tcW w:w="2835" w:type="dxa"/>
            <w:hideMark/>
          </w:tcPr>
          <w:p w14:paraId="042ACC71" w14:textId="69B72DEC"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lastRenderedPageBreak/>
              <w:t xml:space="preserve">Агентство </w:t>
            </w:r>
            <w:proofErr w:type="spellStart"/>
            <w:r w:rsidR="003E7A6D" w:rsidRPr="003E7A6D">
              <w:rPr>
                <w:rFonts w:ascii="Arial" w:eastAsia="Calibri" w:hAnsi="Arial" w:cs="Arial"/>
                <w:sz w:val="16"/>
                <w:szCs w:val="16"/>
                <w:lang w:val="uk" w:eastAsia="en-GB"/>
              </w:rPr>
              <w:t>Enabel</w:t>
            </w:r>
            <w:proofErr w:type="spellEnd"/>
            <w:r w:rsidR="003E7A6D" w:rsidRPr="003E7A6D">
              <w:rPr>
                <w:rFonts w:ascii="Arial" w:eastAsia="Calibri" w:hAnsi="Arial" w:cs="Arial"/>
                <w:sz w:val="16"/>
                <w:szCs w:val="16"/>
                <w:lang w:val="ru-RU" w:eastAsia="en-GB"/>
              </w:rPr>
              <w:t xml:space="preserve"> </w:t>
            </w:r>
            <w:r w:rsidRPr="00A40FC2">
              <w:rPr>
                <w:rFonts w:ascii="Arial" w:eastAsia="Calibri" w:hAnsi="Arial" w:cs="Arial"/>
                <w:sz w:val="16"/>
                <w:szCs w:val="16"/>
                <w:lang w:val="uk" w:eastAsia="en-GB"/>
              </w:rPr>
              <w:t xml:space="preserve">може довести будь-яким належним чином, що контрагент </w:t>
            </w:r>
            <w:r w:rsidRPr="00A40FC2">
              <w:rPr>
                <w:rFonts w:ascii="Arial" w:eastAsia="Calibri" w:hAnsi="Arial" w:cs="Arial"/>
                <w:b/>
                <w:bCs/>
                <w:sz w:val="16"/>
                <w:szCs w:val="16"/>
                <w:lang w:val="uk" w:eastAsia="en-GB"/>
              </w:rPr>
              <w:t>або один із його керівників</w:t>
            </w:r>
            <w:r w:rsidRPr="00A40FC2">
              <w:rPr>
                <w:rFonts w:ascii="Arial" w:eastAsia="Calibri" w:hAnsi="Arial" w:cs="Arial"/>
                <w:sz w:val="16"/>
                <w:szCs w:val="16"/>
                <w:lang w:val="uk" w:eastAsia="en-GB"/>
              </w:rPr>
              <w:t xml:space="preserve"> вчинив серйозне професійне порушення, що ставить під сумнів його доброчесність.</w:t>
            </w:r>
          </w:p>
          <w:p w14:paraId="78F1B6E1" w14:textId="77777777" w:rsidR="00364659" w:rsidRPr="00A40FC2" w:rsidRDefault="00364659" w:rsidP="00364659">
            <w:pPr>
              <w:rPr>
                <w:rFonts w:ascii="Arial" w:eastAsia="Calibri" w:hAnsi="Arial" w:cs="Arial"/>
                <w:sz w:val="16"/>
                <w:szCs w:val="16"/>
                <w:lang w:val="ru-RU" w:eastAsia="en-GB"/>
              </w:rPr>
            </w:pPr>
          </w:p>
          <w:p w14:paraId="6C01DFE7"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lastRenderedPageBreak/>
              <w:t>До таких серйозних професійних порушень належать:</w:t>
            </w:r>
          </w:p>
          <w:p w14:paraId="1EF79F06" w14:textId="2E5D2882" w:rsidR="00364659" w:rsidRPr="00A40FC2" w:rsidRDefault="00364659" w:rsidP="00364659">
            <w:pPr>
              <w:numPr>
                <w:ilvl w:val="0"/>
                <w:numId w:val="1"/>
              </w:numPr>
              <w:ind w:left="284" w:hanging="284"/>
              <w:contextualSpacing/>
              <w:rPr>
                <w:rFonts w:ascii="Arial" w:eastAsia="Calibri" w:hAnsi="Arial" w:cs="Arial"/>
                <w:sz w:val="16"/>
                <w:szCs w:val="16"/>
                <w:lang w:val="ru-RU"/>
              </w:rPr>
            </w:pPr>
            <w:r w:rsidRPr="00A40FC2">
              <w:rPr>
                <w:rFonts w:ascii="Arial" w:eastAsia="Calibri" w:hAnsi="Arial" w:cs="Arial"/>
                <w:sz w:val="16"/>
                <w:szCs w:val="16"/>
                <w:lang w:val="uk"/>
              </w:rPr>
              <w:t xml:space="preserve">порушення політики </w:t>
            </w:r>
            <w:r w:rsidR="003E7A6D">
              <w:rPr>
                <w:rFonts w:ascii="Arial" w:eastAsia="Calibri" w:hAnsi="Arial" w:cs="Arial"/>
                <w:sz w:val="16"/>
                <w:szCs w:val="16"/>
                <w:lang w:val="uk-UA"/>
              </w:rPr>
              <w:t xml:space="preserve">агентства </w:t>
            </w:r>
            <w:proofErr w:type="spellStart"/>
            <w:r w:rsidR="003E7A6D" w:rsidRPr="003E7A6D">
              <w:rPr>
                <w:rFonts w:ascii="Arial" w:eastAsia="Calibri" w:hAnsi="Arial" w:cs="Arial"/>
                <w:sz w:val="16"/>
                <w:szCs w:val="16"/>
                <w:lang w:val="uk"/>
              </w:rPr>
              <w:t>Enabel</w:t>
            </w:r>
            <w:proofErr w:type="spellEnd"/>
            <w:r w:rsidR="003E7A6D">
              <w:rPr>
                <w:rFonts w:ascii="Arial" w:eastAsia="Calibri" w:hAnsi="Arial" w:cs="Arial"/>
                <w:sz w:val="16"/>
                <w:szCs w:val="16"/>
                <w:lang w:val="uk"/>
              </w:rPr>
              <w:t xml:space="preserve"> </w:t>
            </w:r>
            <w:r w:rsidRPr="00A40FC2">
              <w:rPr>
                <w:rFonts w:ascii="Arial" w:eastAsia="Calibri" w:hAnsi="Arial" w:cs="Arial"/>
                <w:sz w:val="16"/>
                <w:szCs w:val="16"/>
                <w:lang w:val="uk"/>
              </w:rPr>
              <w:t>щодо запобігання сексуальній експлуатації та насильству (червень 2019 року);</w:t>
            </w:r>
          </w:p>
          <w:p w14:paraId="1C9C77A2" w14:textId="541CB0C8" w:rsidR="00364659" w:rsidRPr="00A40FC2" w:rsidRDefault="00364659" w:rsidP="00364659">
            <w:pPr>
              <w:numPr>
                <w:ilvl w:val="0"/>
                <w:numId w:val="1"/>
              </w:numPr>
              <w:ind w:left="284" w:hanging="284"/>
              <w:contextualSpacing/>
              <w:rPr>
                <w:rFonts w:ascii="Arial" w:eastAsia="Calibri" w:hAnsi="Arial" w:cs="Arial"/>
                <w:sz w:val="16"/>
                <w:szCs w:val="16"/>
                <w:lang w:val="ru-RU"/>
              </w:rPr>
            </w:pPr>
            <w:r w:rsidRPr="00A40FC2">
              <w:rPr>
                <w:rFonts w:ascii="Arial" w:eastAsia="Calibri" w:hAnsi="Arial" w:cs="Arial"/>
                <w:sz w:val="16"/>
                <w:szCs w:val="16"/>
                <w:lang w:val="uk"/>
              </w:rPr>
              <w:t xml:space="preserve">порушення політики </w:t>
            </w:r>
            <w:r w:rsidR="00AB4A58">
              <w:rPr>
                <w:rFonts w:ascii="Arial" w:eastAsia="Calibri" w:hAnsi="Arial" w:cs="Arial"/>
                <w:sz w:val="16"/>
                <w:szCs w:val="16"/>
                <w:lang w:val="uk"/>
              </w:rPr>
              <w:t xml:space="preserve">агентства </w:t>
            </w:r>
            <w:proofErr w:type="spellStart"/>
            <w:r w:rsidR="003E7A6D" w:rsidRPr="003E7A6D">
              <w:rPr>
                <w:rFonts w:ascii="Arial" w:eastAsia="Calibri" w:hAnsi="Arial" w:cs="Arial"/>
                <w:sz w:val="16"/>
                <w:szCs w:val="16"/>
                <w:lang w:val="uk"/>
              </w:rPr>
              <w:t>Enabel</w:t>
            </w:r>
            <w:proofErr w:type="spellEnd"/>
            <w:r w:rsidR="003E7A6D">
              <w:rPr>
                <w:rFonts w:ascii="Arial" w:eastAsia="Calibri" w:hAnsi="Arial" w:cs="Arial"/>
                <w:sz w:val="16"/>
                <w:szCs w:val="16"/>
                <w:lang w:val="uk"/>
              </w:rPr>
              <w:t xml:space="preserve"> </w:t>
            </w:r>
            <w:r w:rsidRPr="00A40FC2">
              <w:rPr>
                <w:rFonts w:ascii="Arial" w:eastAsia="Calibri" w:hAnsi="Arial" w:cs="Arial"/>
                <w:sz w:val="16"/>
                <w:szCs w:val="16"/>
                <w:lang w:val="uk"/>
              </w:rPr>
              <w:t>щодо управління ризиками шахрайства та корупції (червень 2019 року);</w:t>
            </w:r>
          </w:p>
          <w:p w14:paraId="39A63C26" w14:textId="77777777" w:rsidR="00364659" w:rsidRPr="00A40FC2" w:rsidRDefault="00364659" w:rsidP="00364659">
            <w:pPr>
              <w:numPr>
                <w:ilvl w:val="0"/>
                <w:numId w:val="1"/>
              </w:numPr>
              <w:ind w:left="284" w:hanging="284"/>
              <w:contextualSpacing/>
              <w:rPr>
                <w:rFonts w:ascii="Arial" w:eastAsia="Calibri" w:hAnsi="Arial" w:cs="Arial"/>
                <w:sz w:val="16"/>
                <w:szCs w:val="16"/>
                <w:lang w:val="ru-RU"/>
              </w:rPr>
            </w:pPr>
            <w:r w:rsidRPr="00A40FC2">
              <w:rPr>
                <w:rFonts w:ascii="Arial" w:eastAsia="Calibri" w:hAnsi="Arial" w:cs="Arial"/>
                <w:sz w:val="16"/>
                <w:szCs w:val="16"/>
                <w:lang w:val="uk"/>
              </w:rPr>
              <w:t>порушення нормативних положень чинного місцевого законодавства щодо сексуальних домагань на робочому місці;</w:t>
            </w:r>
          </w:p>
          <w:p w14:paraId="395E3D6B" w14:textId="77777777" w:rsidR="00364659" w:rsidRPr="00A40FC2" w:rsidRDefault="00364659" w:rsidP="00364659">
            <w:pPr>
              <w:numPr>
                <w:ilvl w:val="0"/>
                <w:numId w:val="1"/>
              </w:numPr>
              <w:ind w:left="284" w:hanging="284"/>
              <w:contextualSpacing/>
              <w:rPr>
                <w:rFonts w:ascii="Arial" w:eastAsia="Calibri" w:hAnsi="Arial" w:cs="Arial"/>
                <w:sz w:val="16"/>
                <w:szCs w:val="16"/>
                <w:lang w:val="ru-RU"/>
              </w:rPr>
            </w:pPr>
            <w:r w:rsidRPr="00A40FC2">
              <w:rPr>
                <w:rFonts w:ascii="Arial" w:eastAsia="Calibri" w:hAnsi="Arial" w:cs="Arial"/>
                <w:sz w:val="16"/>
                <w:szCs w:val="16"/>
                <w:lang w:val="uk"/>
              </w:rPr>
              <w:t>надання контрагентом неправдивої інформації або підроблених документів під час подання відомостей, необхідних для перевірки відсутності підстав для виключення чи відповідності критеріям відбору, чи приховування зазначеної інформації;</w:t>
            </w:r>
          </w:p>
          <w:p w14:paraId="6F6713E0" w14:textId="2C2EC6D9" w:rsidR="00364659" w:rsidRPr="00A40FC2" w:rsidRDefault="00364659" w:rsidP="00364659">
            <w:pPr>
              <w:numPr>
                <w:ilvl w:val="0"/>
                <w:numId w:val="1"/>
              </w:numPr>
              <w:ind w:left="284" w:hanging="284"/>
              <w:contextualSpacing/>
              <w:rPr>
                <w:rFonts w:ascii="Arial" w:eastAsia="Calibri" w:hAnsi="Arial" w:cs="Arial"/>
                <w:sz w:val="16"/>
                <w:szCs w:val="16"/>
                <w:lang w:val="ru-RU"/>
              </w:rPr>
            </w:pPr>
            <w:r w:rsidRPr="00A40FC2">
              <w:rPr>
                <w:rFonts w:ascii="Arial" w:eastAsia="Calibri" w:hAnsi="Arial" w:cs="Arial"/>
                <w:sz w:val="16"/>
                <w:szCs w:val="16"/>
                <w:lang w:val="uk"/>
              </w:rPr>
              <w:t xml:space="preserve">наявність в агентства </w:t>
            </w:r>
            <w:proofErr w:type="spellStart"/>
            <w:r w:rsidR="003E7A6D" w:rsidRPr="003E7A6D">
              <w:rPr>
                <w:rFonts w:ascii="Arial" w:eastAsia="Calibri" w:hAnsi="Arial" w:cs="Arial"/>
                <w:sz w:val="16"/>
                <w:szCs w:val="16"/>
                <w:lang w:val="uk"/>
              </w:rPr>
              <w:t>Enabel</w:t>
            </w:r>
            <w:proofErr w:type="spellEnd"/>
            <w:r w:rsidRPr="00A40FC2">
              <w:rPr>
                <w:rFonts w:ascii="Arial" w:eastAsia="Calibri" w:hAnsi="Arial" w:cs="Arial"/>
                <w:sz w:val="16"/>
                <w:szCs w:val="16"/>
                <w:lang w:val="uk"/>
              </w:rPr>
              <w:t xml:space="preserve"> достатньо обґрунтованих доказів, що контрагент вчинив дії або уклав угоди чи домовленості задля спотворення конкуренції.</w:t>
            </w:r>
          </w:p>
          <w:p w14:paraId="607268B1" w14:textId="3E659332"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 xml:space="preserve">Наявність контрагента в одному зі списків виключення агентства </w:t>
            </w:r>
            <w:proofErr w:type="spellStart"/>
            <w:r w:rsidR="003E7A6D" w:rsidRPr="003E7A6D">
              <w:rPr>
                <w:rFonts w:ascii="Arial" w:eastAsia="Calibri" w:hAnsi="Arial" w:cs="Arial"/>
                <w:sz w:val="16"/>
                <w:szCs w:val="16"/>
                <w:lang w:val="uk" w:eastAsia="en-GB"/>
              </w:rPr>
              <w:t>Enabel</w:t>
            </w:r>
            <w:proofErr w:type="spellEnd"/>
            <w:r w:rsidR="003E7A6D">
              <w:rPr>
                <w:rFonts w:ascii="Arial" w:eastAsia="Calibri" w:hAnsi="Arial" w:cs="Arial"/>
                <w:sz w:val="16"/>
                <w:szCs w:val="16"/>
                <w:lang w:val="uk" w:eastAsia="en-GB"/>
              </w:rPr>
              <w:t xml:space="preserve"> </w:t>
            </w:r>
            <w:r w:rsidRPr="00A40FC2">
              <w:rPr>
                <w:rFonts w:ascii="Arial" w:eastAsia="Calibri" w:hAnsi="Arial" w:cs="Arial"/>
                <w:sz w:val="16"/>
                <w:szCs w:val="16"/>
                <w:lang w:val="uk" w:eastAsia="en-GB"/>
              </w:rPr>
              <w:t>унаслідок таких дій/угод/домовленостей вважається достатньо обґрунтованою підставою. </w:t>
            </w:r>
          </w:p>
        </w:tc>
        <w:tc>
          <w:tcPr>
            <w:tcW w:w="284" w:type="dxa"/>
            <w:tcBorders>
              <w:top w:val="nil"/>
              <w:bottom w:val="nil"/>
            </w:tcBorders>
          </w:tcPr>
          <w:p w14:paraId="572A70EB" w14:textId="77777777" w:rsidR="00364659" w:rsidRPr="00A40FC2" w:rsidRDefault="00364659" w:rsidP="00364659">
            <w:pPr>
              <w:rPr>
                <w:rFonts w:ascii="Arial" w:eastAsia="Calibri" w:hAnsi="Arial" w:cs="Arial"/>
                <w:sz w:val="16"/>
                <w:szCs w:val="16"/>
                <w:lang w:val="uk" w:eastAsia="en-GB"/>
              </w:rPr>
            </w:pPr>
          </w:p>
        </w:tc>
        <w:tc>
          <w:tcPr>
            <w:tcW w:w="1276" w:type="dxa"/>
          </w:tcPr>
          <w:p w14:paraId="64739F69" w14:textId="77777777" w:rsidR="00364659" w:rsidRPr="00A40FC2" w:rsidRDefault="00364659" w:rsidP="00364659">
            <w:pPr>
              <w:rPr>
                <w:rFonts w:ascii="Arial" w:eastAsia="Calibri" w:hAnsi="Arial" w:cs="Arial"/>
                <w:b/>
                <w:bCs/>
                <w:sz w:val="16"/>
                <w:szCs w:val="16"/>
                <w:lang w:eastAsia="en-GB"/>
              </w:rPr>
            </w:pPr>
            <w:r w:rsidRPr="00A40FC2">
              <w:rPr>
                <w:rFonts w:ascii="Arial" w:eastAsia="Calibri" w:hAnsi="Arial" w:cs="Arial"/>
                <w:b/>
                <w:bCs/>
                <w:sz w:val="16"/>
                <w:szCs w:val="16"/>
                <w:lang w:eastAsia="en-GB"/>
              </w:rPr>
              <w:t xml:space="preserve">4)   Integrity-related professional misconduct, including: </w:t>
            </w:r>
          </w:p>
          <w:p w14:paraId="42B759E2" w14:textId="77777777" w:rsidR="00364659" w:rsidRPr="00A40FC2" w:rsidRDefault="00364659" w:rsidP="00364659">
            <w:pPr>
              <w:rPr>
                <w:rFonts w:ascii="Arial" w:eastAsia="Calibri" w:hAnsi="Arial" w:cs="Arial"/>
                <w:sz w:val="16"/>
                <w:szCs w:val="16"/>
                <w:lang w:eastAsia="en-GB"/>
              </w:rPr>
            </w:pPr>
          </w:p>
          <w:p w14:paraId="0F000BAC"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 xml:space="preserve">- Sexual abuse and/or exploitation </w:t>
            </w:r>
          </w:p>
          <w:p w14:paraId="0FCC6D6D"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lastRenderedPageBreak/>
              <w:t xml:space="preserve">- Case of fraud </w:t>
            </w:r>
          </w:p>
          <w:p w14:paraId="308E9AF5"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 xml:space="preserve">- Case of sexual harassment </w:t>
            </w:r>
          </w:p>
          <w:p w14:paraId="69DB70DC"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 False statements</w:t>
            </w:r>
          </w:p>
          <w:p w14:paraId="7A94982A" w14:textId="2285892E" w:rsidR="00364659" w:rsidRPr="00A40FC2" w:rsidRDefault="00364659" w:rsidP="00364659">
            <w:pPr>
              <w:rPr>
                <w:rFonts w:ascii="Arial" w:eastAsia="Calibri" w:hAnsi="Arial" w:cs="Arial"/>
                <w:sz w:val="16"/>
                <w:szCs w:val="16"/>
                <w:lang w:val="uk" w:eastAsia="en-GB"/>
              </w:rPr>
            </w:pPr>
            <w:r w:rsidRPr="00A40FC2">
              <w:rPr>
                <w:rFonts w:ascii="Arial" w:eastAsia="Calibri" w:hAnsi="Arial" w:cs="Arial"/>
                <w:sz w:val="16"/>
                <w:szCs w:val="16"/>
                <w:lang w:eastAsia="en-GB"/>
              </w:rPr>
              <w:t>- Unfair competition</w:t>
            </w:r>
          </w:p>
        </w:tc>
        <w:tc>
          <w:tcPr>
            <w:tcW w:w="2835" w:type="dxa"/>
          </w:tcPr>
          <w:p w14:paraId="49DF73D9"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lastRenderedPageBreak/>
              <w:t xml:space="preserve">When </w:t>
            </w:r>
            <w:proofErr w:type="spellStart"/>
            <w:r w:rsidRPr="00A40FC2">
              <w:rPr>
                <w:rFonts w:ascii="Arial" w:eastAsia="Calibri" w:hAnsi="Arial" w:cs="Arial"/>
                <w:sz w:val="16"/>
                <w:szCs w:val="16"/>
                <w:lang w:eastAsia="en-GB"/>
              </w:rPr>
              <w:t>Enabel</w:t>
            </w:r>
            <w:proofErr w:type="spellEnd"/>
            <w:r w:rsidRPr="00A40FC2">
              <w:rPr>
                <w:rFonts w:ascii="Arial" w:eastAsia="Calibri" w:hAnsi="Arial" w:cs="Arial"/>
                <w:sz w:val="16"/>
                <w:szCs w:val="16"/>
                <w:lang w:eastAsia="en-GB"/>
              </w:rPr>
              <w:t xml:space="preserve"> can demonstrate by any appropriate means that the counterparty </w:t>
            </w:r>
            <w:r w:rsidRPr="00A40FC2">
              <w:rPr>
                <w:rFonts w:ascii="Arial" w:eastAsia="Calibri" w:hAnsi="Arial" w:cs="Arial"/>
                <w:b/>
                <w:bCs/>
                <w:sz w:val="16"/>
                <w:szCs w:val="16"/>
                <w:lang w:eastAsia="en-GB"/>
              </w:rPr>
              <w:t>or any of its directors</w:t>
            </w:r>
            <w:r w:rsidRPr="00A40FC2">
              <w:rPr>
                <w:rFonts w:ascii="Arial" w:eastAsia="Calibri" w:hAnsi="Arial" w:cs="Arial"/>
                <w:sz w:val="16"/>
                <w:szCs w:val="16"/>
                <w:lang w:eastAsia="en-GB"/>
              </w:rPr>
              <w:t xml:space="preserve"> has committed serious professional misconduct which calls into question his integrity.</w:t>
            </w:r>
          </w:p>
          <w:p w14:paraId="1C6C19C3" w14:textId="77777777" w:rsidR="00364659" w:rsidRPr="00A40FC2" w:rsidRDefault="00364659" w:rsidP="00364659">
            <w:pPr>
              <w:rPr>
                <w:rFonts w:ascii="Arial" w:eastAsia="Calibri" w:hAnsi="Arial" w:cs="Arial"/>
                <w:sz w:val="16"/>
                <w:szCs w:val="16"/>
                <w:lang w:eastAsia="en-GB"/>
              </w:rPr>
            </w:pPr>
          </w:p>
          <w:p w14:paraId="7A24FDB7"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Are among others considered such serious professional misconduct:</w:t>
            </w:r>
          </w:p>
          <w:p w14:paraId="7826584D" w14:textId="77777777" w:rsidR="00364659" w:rsidRPr="00A40FC2" w:rsidRDefault="00364659" w:rsidP="00A40FC2">
            <w:pPr>
              <w:numPr>
                <w:ilvl w:val="0"/>
                <w:numId w:val="1"/>
              </w:numPr>
              <w:ind w:left="284" w:hanging="284"/>
              <w:contextualSpacing/>
              <w:rPr>
                <w:rFonts w:ascii="Arial" w:eastAsia="Calibri" w:hAnsi="Arial" w:cs="Arial"/>
                <w:color w:val="585756"/>
                <w:sz w:val="16"/>
                <w:szCs w:val="16"/>
              </w:rPr>
            </w:pPr>
            <w:r w:rsidRPr="00A40FC2">
              <w:rPr>
                <w:rFonts w:ascii="Arial" w:eastAsia="Calibri" w:hAnsi="Arial" w:cs="Arial"/>
                <w:color w:val="585756"/>
                <w:sz w:val="16"/>
                <w:szCs w:val="16"/>
              </w:rPr>
              <w:lastRenderedPageBreak/>
              <w:t xml:space="preserve">A breach of </w:t>
            </w:r>
            <w:proofErr w:type="spellStart"/>
            <w:r w:rsidRPr="00A40FC2">
              <w:rPr>
                <w:rFonts w:ascii="Arial" w:eastAsia="Calibri" w:hAnsi="Arial" w:cs="Arial"/>
                <w:color w:val="585756"/>
                <w:sz w:val="16"/>
                <w:szCs w:val="16"/>
              </w:rPr>
              <w:t>Enabel’s</w:t>
            </w:r>
            <w:proofErr w:type="spellEnd"/>
            <w:r w:rsidRPr="00A40FC2">
              <w:rPr>
                <w:rFonts w:ascii="Arial" w:eastAsia="Calibri" w:hAnsi="Arial" w:cs="Arial"/>
                <w:color w:val="585756"/>
                <w:sz w:val="16"/>
                <w:szCs w:val="16"/>
              </w:rPr>
              <w:t xml:space="preserve"> Policy regarding sexual exploitation and abuse – June 2019</w:t>
            </w:r>
          </w:p>
          <w:p w14:paraId="721687DE" w14:textId="77777777" w:rsidR="00364659" w:rsidRPr="00A40FC2" w:rsidRDefault="00364659" w:rsidP="00A40FC2">
            <w:pPr>
              <w:numPr>
                <w:ilvl w:val="0"/>
                <w:numId w:val="1"/>
              </w:numPr>
              <w:ind w:left="284" w:hanging="284"/>
              <w:contextualSpacing/>
              <w:rPr>
                <w:rFonts w:ascii="Arial" w:eastAsia="Calibri" w:hAnsi="Arial" w:cs="Arial"/>
                <w:color w:val="585756"/>
                <w:sz w:val="16"/>
                <w:szCs w:val="16"/>
              </w:rPr>
            </w:pPr>
            <w:r w:rsidRPr="00A40FC2">
              <w:rPr>
                <w:rFonts w:ascii="Arial" w:eastAsia="Calibri" w:hAnsi="Arial" w:cs="Arial"/>
                <w:color w:val="585756"/>
                <w:sz w:val="16"/>
                <w:szCs w:val="16"/>
              </w:rPr>
              <w:t xml:space="preserve">A breach of </w:t>
            </w:r>
            <w:proofErr w:type="spellStart"/>
            <w:r w:rsidRPr="00A40FC2">
              <w:rPr>
                <w:rFonts w:ascii="Arial" w:eastAsia="Calibri" w:hAnsi="Arial" w:cs="Arial"/>
                <w:color w:val="585756"/>
                <w:sz w:val="16"/>
                <w:szCs w:val="16"/>
              </w:rPr>
              <w:t>Enabel’s</w:t>
            </w:r>
            <w:proofErr w:type="spellEnd"/>
            <w:r w:rsidRPr="00A40FC2">
              <w:rPr>
                <w:rFonts w:ascii="Arial" w:eastAsia="Calibri" w:hAnsi="Arial" w:cs="Arial"/>
                <w:color w:val="585756"/>
                <w:sz w:val="16"/>
                <w:szCs w:val="16"/>
              </w:rPr>
              <w:t xml:space="preserve"> Policy regarding fraud and corruption risk management – June 2019</w:t>
            </w:r>
          </w:p>
          <w:p w14:paraId="65674044" w14:textId="77777777" w:rsidR="00364659" w:rsidRPr="00A40FC2" w:rsidRDefault="00364659" w:rsidP="00A40FC2">
            <w:pPr>
              <w:numPr>
                <w:ilvl w:val="0"/>
                <w:numId w:val="1"/>
              </w:numPr>
              <w:ind w:left="284" w:hanging="284"/>
              <w:contextualSpacing/>
              <w:rPr>
                <w:rFonts w:ascii="Arial" w:eastAsia="Calibri" w:hAnsi="Arial" w:cs="Arial"/>
                <w:color w:val="585756"/>
                <w:sz w:val="16"/>
                <w:szCs w:val="16"/>
              </w:rPr>
            </w:pPr>
            <w:r w:rsidRPr="00A40FC2">
              <w:rPr>
                <w:rFonts w:ascii="Arial" w:eastAsia="Calibri" w:hAnsi="Arial" w:cs="Arial"/>
                <w:color w:val="585756"/>
                <w:sz w:val="16"/>
                <w:szCs w:val="16"/>
              </w:rPr>
              <w:t>A breach of a regulatory provision in applicable local legislation regarding sexual harassment in the workplace</w:t>
            </w:r>
          </w:p>
          <w:p w14:paraId="45194AD8" w14:textId="77777777" w:rsidR="00364659" w:rsidRPr="00A40FC2" w:rsidRDefault="00364659" w:rsidP="00A40FC2">
            <w:pPr>
              <w:numPr>
                <w:ilvl w:val="0"/>
                <w:numId w:val="1"/>
              </w:numPr>
              <w:ind w:left="284" w:hanging="284"/>
              <w:contextualSpacing/>
              <w:rPr>
                <w:rFonts w:ascii="Arial" w:eastAsia="Calibri" w:hAnsi="Arial" w:cs="Arial"/>
                <w:color w:val="585756"/>
                <w:sz w:val="16"/>
                <w:szCs w:val="16"/>
              </w:rPr>
            </w:pPr>
            <w:r w:rsidRPr="00A40FC2">
              <w:rPr>
                <w:rFonts w:ascii="Arial" w:eastAsia="Calibri" w:hAnsi="Arial" w:cs="Arial"/>
                <w:color w:val="585756"/>
                <w:sz w:val="16"/>
                <w:szCs w:val="16"/>
              </w:rPr>
              <w:t>The counterparty was seriously guilty of misrepresentation or false documents when providing the information required for verification of the absence of grounds for exclusion or the satisfaction of the selection criteria, or concealed this information</w:t>
            </w:r>
          </w:p>
          <w:p w14:paraId="765907A6" w14:textId="77777777" w:rsidR="00364659" w:rsidRPr="00A40FC2" w:rsidRDefault="00364659" w:rsidP="00A40FC2">
            <w:pPr>
              <w:numPr>
                <w:ilvl w:val="0"/>
                <w:numId w:val="1"/>
              </w:numPr>
              <w:ind w:left="284" w:hanging="284"/>
              <w:contextualSpacing/>
              <w:rPr>
                <w:rFonts w:ascii="Arial" w:eastAsia="Calibri" w:hAnsi="Arial" w:cs="Arial"/>
                <w:color w:val="585756"/>
                <w:sz w:val="16"/>
                <w:szCs w:val="16"/>
              </w:rPr>
            </w:pPr>
            <w:r w:rsidRPr="00A40FC2">
              <w:rPr>
                <w:rFonts w:ascii="Arial" w:eastAsia="Calibri" w:hAnsi="Arial" w:cs="Arial"/>
                <w:color w:val="585756"/>
                <w:sz w:val="16"/>
                <w:szCs w:val="16"/>
              </w:rPr>
              <w:t xml:space="preserve">Where </w:t>
            </w:r>
            <w:proofErr w:type="spellStart"/>
            <w:r w:rsidRPr="00A40FC2">
              <w:rPr>
                <w:rFonts w:ascii="Arial" w:eastAsia="Calibri" w:hAnsi="Arial" w:cs="Arial"/>
                <w:color w:val="585756"/>
                <w:sz w:val="16"/>
                <w:szCs w:val="16"/>
              </w:rPr>
              <w:t>Enabel</w:t>
            </w:r>
            <w:proofErr w:type="spellEnd"/>
            <w:r w:rsidRPr="00A40FC2">
              <w:rPr>
                <w:rFonts w:ascii="Arial" w:eastAsia="Calibri" w:hAnsi="Arial" w:cs="Arial"/>
                <w:color w:val="585756"/>
                <w:sz w:val="16"/>
                <w:szCs w:val="16"/>
              </w:rPr>
              <w:t xml:space="preserve"> has sufficient plausible evidence to conclude that the counterparty has committed acts, entered into agreements or entered into arrangements to distort competition</w:t>
            </w:r>
          </w:p>
          <w:p w14:paraId="378FBBD8" w14:textId="50875A93" w:rsidR="00364659" w:rsidRPr="00A40FC2" w:rsidRDefault="00364659" w:rsidP="00364659">
            <w:pPr>
              <w:rPr>
                <w:rFonts w:ascii="Arial" w:eastAsia="Calibri" w:hAnsi="Arial" w:cs="Arial"/>
                <w:sz w:val="16"/>
                <w:szCs w:val="16"/>
                <w:lang w:val="uk" w:eastAsia="en-GB"/>
              </w:rPr>
            </w:pPr>
            <w:r w:rsidRPr="00A40FC2">
              <w:rPr>
                <w:rFonts w:ascii="Arial" w:eastAsia="Calibri" w:hAnsi="Arial" w:cs="Arial"/>
                <w:sz w:val="16"/>
                <w:szCs w:val="16"/>
                <w:lang w:eastAsia="en-GB"/>
              </w:rPr>
              <w:t xml:space="preserve">The presence of this counterparty on one of </w:t>
            </w:r>
            <w:proofErr w:type="spellStart"/>
            <w:r w:rsidRPr="00A40FC2">
              <w:rPr>
                <w:rFonts w:ascii="Arial" w:eastAsia="Calibri" w:hAnsi="Arial" w:cs="Arial"/>
                <w:sz w:val="16"/>
                <w:szCs w:val="16"/>
                <w:lang w:eastAsia="en-GB"/>
              </w:rPr>
              <w:t>Enabel’s</w:t>
            </w:r>
            <w:proofErr w:type="spellEnd"/>
            <w:r w:rsidRPr="00A40FC2">
              <w:rPr>
                <w:rFonts w:ascii="Arial" w:eastAsia="Calibri" w:hAnsi="Arial" w:cs="Arial"/>
                <w:sz w:val="16"/>
                <w:szCs w:val="16"/>
                <w:lang w:eastAsia="en-GB"/>
              </w:rPr>
              <w:t xml:space="preserve"> exclusion lists as a result of such an act/agreement/arrangement is considered to be sufficiently plausible an element. </w:t>
            </w:r>
          </w:p>
        </w:tc>
      </w:tr>
      <w:tr w:rsidR="00364659" w:rsidRPr="00A40FC2" w14:paraId="2EE64181" w14:textId="20260CC9" w:rsidTr="00A40FC2">
        <w:trPr>
          <w:trHeight w:val="900"/>
        </w:trPr>
        <w:tc>
          <w:tcPr>
            <w:tcW w:w="1696" w:type="dxa"/>
            <w:hideMark/>
          </w:tcPr>
          <w:p w14:paraId="1AD9AC21" w14:textId="77777777" w:rsidR="00364659" w:rsidRPr="00A40FC2" w:rsidRDefault="00364659" w:rsidP="00364659">
            <w:pPr>
              <w:rPr>
                <w:rFonts w:ascii="Arial" w:eastAsia="Calibri" w:hAnsi="Arial" w:cs="Arial"/>
                <w:b/>
                <w:bCs/>
                <w:sz w:val="16"/>
                <w:szCs w:val="16"/>
                <w:lang w:eastAsia="en-GB"/>
              </w:rPr>
            </w:pPr>
            <w:r w:rsidRPr="00A40FC2">
              <w:rPr>
                <w:rFonts w:ascii="Arial" w:eastAsia="Calibri" w:hAnsi="Arial" w:cs="Arial"/>
                <w:b/>
                <w:bCs/>
                <w:sz w:val="16"/>
                <w:szCs w:val="16"/>
                <w:lang w:val="uk" w:eastAsia="en-GB"/>
              </w:rPr>
              <w:lastRenderedPageBreak/>
              <w:t>5. Конфлікт інтересів</w:t>
            </w:r>
          </w:p>
        </w:tc>
        <w:tc>
          <w:tcPr>
            <w:tcW w:w="2835" w:type="dxa"/>
            <w:hideMark/>
          </w:tcPr>
          <w:p w14:paraId="2BAD3566"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 xml:space="preserve">Конфлікт інтересів неможливо врегулювати іншими, менш обтяжливими заходами. </w:t>
            </w:r>
          </w:p>
        </w:tc>
        <w:tc>
          <w:tcPr>
            <w:tcW w:w="284" w:type="dxa"/>
            <w:tcBorders>
              <w:top w:val="nil"/>
              <w:bottom w:val="nil"/>
            </w:tcBorders>
          </w:tcPr>
          <w:p w14:paraId="7523EE7D" w14:textId="77777777" w:rsidR="00364659" w:rsidRPr="00A40FC2" w:rsidRDefault="00364659" w:rsidP="00364659">
            <w:pPr>
              <w:rPr>
                <w:rFonts w:ascii="Arial" w:eastAsia="Calibri" w:hAnsi="Arial" w:cs="Arial"/>
                <w:sz w:val="16"/>
                <w:szCs w:val="16"/>
                <w:lang w:val="uk" w:eastAsia="en-GB"/>
              </w:rPr>
            </w:pPr>
          </w:p>
        </w:tc>
        <w:tc>
          <w:tcPr>
            <w:tcW w:w="1276" w:type="dxa"/>
            <w:tcBorders>
              <w:bottom w:val="single" w:sz="4" w:space="0" w:color="auto"/>
            </w:tcBorders>
          </w:tcPr>
          <w:p w14:paraId="2B852FA0" w14:textId="77EC7AB5" w:rsidR="00364659" w:rsidRPr="00A40FC2" w:rsidRDefault="00364659" w:rsidP="00364659">
            <w:pPr>
              <w:rPr>
                <w:rFonts w:ascii="Arial" w:eastAsia="Calibri" w:hAnsi="Arial" w:cs="Arial"/>
                <w:sz w:val="16"/>
                <w:szCs w:val="16"/>
                <w:lang w:val="uk" w:eastAsia="en-GB"/>
              </w:rPr>
            </w:pPr>
            <w:r w:rsidRPr="00A40FC2">
              <w:rPr>
                <w:rFonts w:ascii="Arial" w:eastAsia="Calibri" w:hAnsi="Arial" w:cs="Arial"/>
                <w:b/>
                <w:bCs/>
                <w:sz w:val="16"/>
                <w:szCs w:val="16"/>
                <w:lang w:eastAsia="en-GB"/>
              </w:rPr>
              <w:t>5)     Conflict of interest</w:t>
            </w:r>
          </w:p>
        </w:tc>
        <w:tc>
          <w:tcPr>
            <w:tcW w:w="2835" w:type="dxa"/>
          </w:tcPr>
          <w:p w14:paraId="6EC54126" w14:textId="73AA8933" w:rsidR="00364659" w:rsidRPr="00A40FC2" w:rsidRDefault="00364659" w:rsidP="00364659">
            <w:pPr>
              <w:rPr>
                <w:rFonts w:ascii="Arial" w:eastAsia="Calibri" w:hAnsi="Arial" w:cs="Arial"/>
                <w:sz w:val="16"/>
                <w:szCs w:val="16"/>
                <w:lang w:val="uk" w:eastAsia="en-GB"/>
              </w:rPr>
            </w:pPr>
            <w:r w:rsidRPr="00A40FC2">
              <w:rPr>
                <w:rFonts w:ascii="Arial" w:eastAsia="Calibri" w:hAnsi="Arial" w:cs="Arial"/>
                <w:sz w:val="16"/>
                <w:szCs w:val="16"/>
                <w:lang w:eastAsia="en-GB"/>
              </w:rPr>
              <w:t xml:space="preserve">When a conflict of interest cannot be remedied by other, less intrusive measures; </w:t>
            </w:r>
          </w:p>
        </w:tc>
      </w:tr>
      <w:tr w:rsidR="00364659" w:rsidRPr="00A40FC2" w14:paraId="66A34A00" w14:textId="20614F9C" w:rsidTr="00A40FC2">
        <w:trPr>
          <w:trHeight w:val="1080"/>
        </w:trPr>
        <w:tc>
          <w:tcPr>
            <w:tcW w:w="1696" w:type="dxa"/>
            <w:vMerge w:val="restart"/>
            <w:hideMark/>
          </w:tcPr>
          <w:p w14:paraId="526BB539" w14:textId="04973A48" w:rsidR="00364659" w:rsidRPr="00A40FC2" w:rsidRDefault="00364659" w:rsidP="00364659">
            <w:pPr>
              <w:rPr>
                <w:rFonts w:ascii="Arial" w:eastAsia="Calibri" w:hAnsi="Arial" w:cs="Arial"/>
                <w:b/>
                <w:bCs/>
                <w:sz w:val="16"/>
                <w:szCs w:val="16"/>
                <w:lang w:val="ru-RU" w:eastAsia="en-GB"/>
              </w:rPr>
            </w:pPr>
            <w:r w:rsidRPr="00A40FC2">
              <w:rPr>
                <w:rFonts w:ascii="Arial" w:eastAsia="Calibri" w:hAnsi="Arial" w:cs="Arial"/>
                <w:b/>
                <w:bCs/>
                <w:sz w:val="16"/>
                <w:szCs w:val="16"/>
                <w:lang w:val="uk" w:eastAsia="en-GB"/>
              </w:rPr>
              <w:t>6. Істотні або систематичні порушення виконання</w:t>
            </w:r>
            <w:r w:rsidRPr="00A40FC2">
              <w:rPr>
                <w:rFonts w:ascii="Arial" w:eastAsia="Calibri" w:hAnsi="Arial" w:cs="Arial"/>
                <w:b/>
                <w:bCs/>
                <w:sz w:val="16"/>
                <w:szCs w:val="16"/>
                <w:lang w:val="ru-RU" w:eastAsia="en-GB"/>
              </w:rPr>
              <w:t xml:space="preserve"> </w:t>
            </w:r>
            <w:r w:rsidRPr="00A40FC2">
              <w:rPr>
                <w:rFonts w:ascii="Arial" w:eastAsia="Calibri" w:hAnsi="Arial" w:cs="Arial"/>
                <w:b/>
                <w:bCs/>
                <w:sz w:val="16"/>
                <w:szCs w:val="16"/>
                <w:lang w:val="uk" w:eastAsia="en-GB"/>
              </w:rPr>
              <w:t>зобов’язань за контрактом</w:t>
            </w:r>
          </w:p>
        </w:tc>
        <w:tc>
          <w:tcPr>
            <w:tcW w:w="2835" w:type="dxa"/>
            <w:hideMark/>
          </w:tcPr>
          <w:p w14:paraId="091430DD"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Під час виконання основного зобов’язання у межах попереднього контракту або контракту, укладеного з іншим замовником, було виявлено істотні чи систематичні порушення з боку контрагента, що призвели до застосування правових заходів, відшкодування збитків або іншого аналогічного заходу.</w:t>
            </w:r>
          </w:p>
        </w:tc>
        <w:tc>
          <w:tcPr>
            <w:tcW w:w="284" w:type="dxa"/>
            <w:tcBorders>
              <w:top w:val="nil"/>
              <w:bottom w:val="nil"/>
            </w:tcBorders>
          </w:tcPr>
          <w:p w14:paraId="3EA0D70A" w14:textId="77777777" w:rsidR="00364659" w:rsidRPr="00A40FC2" w:rsidRDefault="00364659" w:rsidP="00364659">
            <w:pPr>
              <w:rPr>
                <w:rFonts w:ascii="Arial" w:eastAsia="Calibri" w:hAnsi="Arial" w:cs="Arial"/>
                <w:sz w:val="16"/>
                <w:szCs w:val="16"/>
                <w:lang w:val="uk" w:eastAsia="en-GB"/>
              </w:rPr>
            </w:pPr>
          </w:p>
        </w:tc>
        <w:tc>
          <w:tcPr>
            <w:tcW w:w="1276" w:type="dxa"/>
            <w:tcBorders>
              <w:bottom w:val="nil"/>
            </w:tcBorders>
          </w:tcPr>
          <w:p w14:paraId="03A31EE7" w14:textId="462C5928" w:rsidR="00364659" w:rsidRPr="00A40FC2" w:rsidRDefault="00364659" w:rsidP="00364659">
            <w:pPr>
              <w:rPr>
                <w:rFonts w:ascii="Arial" w:eastAsia="Calibri" w:hAnsi="Arial" w:cs="Arial"/>
                <w:sz w:val="16"/>
                <w:szCs w:val="16"/>
                <w:lang w:val="uk" w:eastAsia="en-GB"/>
              </w:rPr>
            </w:pPr>
            <w:r w:rsidRPr="00A40FC2">
              <w:rPr>
                <w:rFonts w:ascii="Arial" w:eastAsia="Calibri" w:hAnsi="Arial" w:cs="Arial"/>
                <w:b/>
                <w:bCs/>
                <w:sz w:val="16"/>
                <w:szCs w:val="16"/>
                <w:lang w:eastAsia="en-GB"/>
              </w:rPr>
              <w:t>6)   Significant or persistent contract performance failures</w:t>
            </w:r>
          </w:p>
        </w:tc>
        <w:tc>
          <w:tcPr>
            <w:tcW w:w="2835" w:type="dxa"/>
          </w:tcPr>
          <w:p w14:paraId="5037D070" w14:textId="705E5486" w:rsidR="00364659" w:rsidRPr="00A40FC2" w:rsidRDefault="00364659" w:rsidP="00364659">
            <w:pPr>
              <w:rPr>
                <w:rFonts w:ascii="Arial" w:eastAsia="Calibri" w:hAnsi="Arial" w:cs="Arial"/>
                <w:sz w:val="16"/>
                <w:szCs w:val="16"/>
                <w:lang w:val="uk" w:eastAsia="en-GB"/>
              </w:rPr>
            </w:pPr>
            <w:r w:rsidRPr="00A40FC2">
              <w:rPr>
                <w:rFonts w:ascii="Arial" w:eastAsia="Calibri" w:hAnsi="Arial" w:cs="Arial"/>
                <w:sz w:val="16"/>
                <w:szCs w:val="16"/>
                <w:lang w:eastAsia="en-GB"/>
              </w:rPr>
              <w:t>When significant or persistent failures by the counterparty were detected during the execution of an essential obligation incumbent on him in the framework of a previous contract, a previous contract placed with another contracting authority, when these failures have given rise to measures as of right, damages or another comparable sanction.</w:t>
            </w:r>
          </w:p>
        </w:tc>
      </w:tr>
      <w:tr w:rsidR="00364659" w:rsidRPr="00A40FC2" w14:paraId="254152B7" w14:textId="08443E72" w:rsidTr="00A40FC2">
        <w:trPr>
          <w:trHeight w:val="1080"/>
        </w:trPr>
        <w:tc>
          <w:tcPr>
            <w:tcW w:w="1696" w:type="dxa"/>
            <w:vMerge/>
            <w:hideMark/>
          </w:tcPr>
          <w:p w14:paraId="215AD94A" w14:textId="77777777" w:rsidR="00364659" w:rsidRPr="00A40FC2" w:rsidRDefault="00364659" w:rsidP="00364659">
            <w:pPr>
              <w:rPr>
                <w:rFonts w:ascii="Arial" w:eastAsia="Calibri" w:hAnsi="Arial" w:cs="Arial"/>
                <w:b/>
                <w:bCs/>
                <w:sz w:val="16"/>
                <w:szCs w:val="16"/>
                <w:lang w:val="en-US" w:eastAsia="en-GB"/>
              </w:rPr>
            </w:pPr>
          </w:p>
        </w:tc>
        <w:tc>
          <w:tcPr>
            <w:tcW w:w="2835" w:type="dxa"/>
            <w:hideMark/>
          </w:tcPr>
          <w:p w14:paraId="354EA5F4"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 xml:space="preserve">Крім того, порушення зобов’язань щодо дотримання екологічних, соціальних і трудових прав, національного законодавства, трудових угод або міжнародних норм у сфері довкілля, соціальних і трудових прав вважаються істотними. </w:t>
            </w:r>
          </w:p>
        </w:tc>
        <w:tc>
          <w:tcPr>
            <w:tcW w:w="284" w:type="dxa"/>
            <w:tcBorders>
              <w:top w:val="nil"/>
              <w:bottom w:val="nil"/>
            </w:tcBorders>
          </w:tcPr>
          <w:p w14:paraId="6421DC8B" w14:textId="77777777" w:rsidR="00364659" w:rsidRPr="00A40FC2" w:rsidRDefault="00364659" w:rsidP="00364659">
            <w:pPr>
              <w:rPr>
                <w:rFonts w:ascii="Arial" w:eastAsia="Calibri" w:hAnsi="Arial" w:cs="Arial"/>
                <w:sz w:val="16"/>
                <w:szCs w:val="16"/>
                <w:lang w:val="uk" w:eastAsia="en-GB"/>
              </w:rPr>
            </w:pPr>
          </w:p>
        </w:tc>
        <w:tc>
          <w:tcPr>
            <w:tcW w:w="1276" w:type="dxa"/>
            <w:tcBorders>
              <w:top w:val="nil"/>
              <w:bottom w:val="nil"/>
            </w:tcBorders>
          </w:tcPr>
          <w:p w14:paraId="275C1880" w14:textId="77777777" w:rsidR="00364659" w:rsidRPr="00A40FC2" w:rsidRDefault="00364659" w:rsidP="00364659">
            <w:pPr>
              <w:rPr>
                <w:rFonts w:ascii="Arial" w:eastAsia="Calibri" w:hAnsi="Arial" w:cs="Arial"/>
                <w:sz w:val="16"/>
                <w:szCs w:val="16"/>
                <w:lang w:val="uk" w:eastAsia="en-GB"/>
              </w:rPr>
            </w:pPr>
          </w:p>
        </w:tc>
        <w:tc>
          <w:tcPr>
            <w:tcW w:w="2835" w:type="dxa"/>
          </w:tcPr>
          <w:p w14:paraId="3D1C4227" w14:textId="6DDD8134" w:rsidR="00364659" w:rsidRPr="00A40FC2" w:rsidRDefault="00364659" w:rsidP="00364659">
            <w:pPr>
              <w:rPr>
                <w:rFonts w:ascii="Arial" w:eastAsia="Calibri" w:hAnsi="Arial" w:cs="Arial"/>
                <w:sz w:val="16"/>
                <w:szCs w:val="16"/>
                <w:lang w:val="uk" w:eastAsia="en-GB"/>
              </w:rPr>
            </w:pPr>
            <w:proofErr w:type="gramStart"/>
            <w:r w:rsidRPr="00A40FC2">
              <w:rPr>
                <w:rFonts w:ascii="Arial" w:eastAsia="Calibri" w:hAnsi="Arial" w:cs="Arial"/>
                <w:sz w:val="16"/>
                <w:szCs w:val="16"/>
                <w:lang w:eastAsia="en-GB"/>
              </w:rPr>
              <w:t>Also</w:t>
            </w:r>
            <w:proofErr w:type="gramEnd"/>
            <w:r w:rsidRPr="00A40FC2">
              <w:rPr>
                <w:rFonts w:ascii="Arial" w:eastAsia="Calibri" w:hAnsi="Arial" w:cs="Arial"/>
                <w:sz w:val="16"/>
                <w:szCs w:val="16"/>
                <w:lang w:eastAsia="en-GB"/>
              </w:rPr>
              <w:t xml:space="preserve"> failures to respect applicable obligations regarding environmental, social and labour rights, national law, labour agreements or international provisions on environmental, social and labour rights are considered ‘significant’. </w:t>
            </w:r>
          </w:p>
        </w:tc>
      </w:tr>
      <w:tr w:rsidR="00364659" w:rsidRPr="00A40FC2" w14:paraId="486C7547" w14:textId="0022A87D" w:rsidTr="00A40FC2">
        <w:trPr>
          <w:trHeight w:val="540"/>
        </w:trPr>
        <w:tc>
          <w:tcPr>
            <w:tcW w:w="1696" w:type="dxa"/>
            <w:vMerge/>
            <w:hideMark/>
          </w:tcPr>
          <w:p w14:paraId="560EFE7C" w14:textId="77777777" w:rsidR="00364659" w:rsidRPr="00A40FC2" w:rsidRDefault="00364659" w:rsidP="00364659">
            <w:pPr>
              <w:rPr>
                <w:rFonts w:ascii="Arial" w:eastAsia="Calibri" w:hAnsi="Arial" w:cs="Arial"/>
                <w:b/>
                <w:bCs/>
                <w:sz w:val="16"/>
                <w:szCs w:val="16"/>
                <w:lang w:val="en-US" w:eastAsia="en-GB"/>
              </w:rPr>
            </w:pPr>
          </w:p>
        </w:tc>
        <w:tc>
          <w:tcPr>
            <w:tcW w:w="2835" w:type="dxa"/>
            <w:hideMark/>
          </w:tcPr>
          <w:p w14:paraId="1845CA3E" w14:textId="20973CC0"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 xml:space="preserve">Наявність контрагента у списку виключення агентства </w:t>
            </w:r>
            <w:proofErr w:type="spellStart"/>
            <w:r w:rsidR="003E7A6D" w:rsidRPr="003E7A6D">
              <w:rPr>
                <w:rFonts w:ascii="Arial" w:eastAsia="Calibri" w:hAnsi="Arial" w:cs="Arial"/>
                <w:sz w:val="16"/>
                <w:szCs w:val="16"/>
                <w:lang w:val="uk" w:eastAsia="en-GB"/>
              </w:rPr>
              <w:t>Enabel</w:t>
            </w:r>
            <w:proofErr w:type="spellEnd"/>
            <w:r w:rsidR="003E7A6D">
              <w:rPr>
                <w:rFonts w:ascii="Arial" w:eastAsia="Calibri" w:hAnsi="Arial" w:cs="Arial"/>
                <w:sz w:val="16"/>
                <w:szCs w:val="16"/>
                <w:lang w:val="uk" w:eastAsia="en-GB"/>
              </w:rPr>
              <w:t xml:space="preserve"> </w:t>
            </w:r>
            <w:r w:rsidRPr="00A40FC2">
              <w:rPr>
                <w:rFonts w:ascii="Arial" w:eastAsia="Calibri" w:hAnsi="Arial" w:cs="Arial"/>
                <w:sz w:val="16"/>
                <w:szCs w:val="16"/>
                <w:lang w:val="uk" w:eastAsia="en-GB"/>
              </w:rPr>
              <w:t xml:space="preserve">через таке порушення є достатнім доказом. </w:t>
            </w:r>
          </w:p>
        </w:tc>
        <w:tc>
          <w:tcPr>
            <w:tcW w:w="284" w:type="dxa"/>
            <w:tcBorders>
              <w:top w:val="nil"/>
              <w:bottom w:val="nil"/>
            </w:tcBorders>
          </w:tcPr>
          <w:p w14:paraId="38932242" w14:textId="77777777" w:rsidR="00364659" w:rsidRPr="00A40FC2" w:rsidRDefault="00364659" w:rsidP="00364659">
            <w:pPr>
              <w:rPr>
                <w:rFonts w:ascii="Arial" w:eastAsia="Calibri" w:hAnsi="Arial" w:cs="Arial"/>
                <w:sz w:val="16"/>
                <w:szCs w:val="16"/>
                <w:lang w:val="uk" w:eastAsia="en-GB"/>
              </w:rPr>
            </w:pPr>
          </w:p>
        </w:tc>
        <w:tc>
          <w:tcPr>
            <w:tcW w:w="1276" w:type="dxa"/>
            <w:tcBorders>
              <w:top w:val="nil"/>
            </w:tcBorders>
          </w:tcPr>
          <w:p w14:paraId="256BAC48" w14:textId="77777777" w:rsidR="00364659" w:rsidRPr="00A40FC2" w:rsidRDefault="00364659" w:rsidP="00364659">
            <w:pPr>
              <w:rPr>
                <w:rFonts w:ascii="Arial" w:eastAsia="Calibri" w:hAnsi="Arial" w:cs="Arial"/>
                <w:sz w:val="16"/>
                <w:szCs w:val="16"/>
                <w:lang w:val="uk" w:eastAsia="en-GB"/>
              </w:rPr>
            </w:pPr>
          </w:p>
        </w:tc>
        <w:tc>
          <w:tcPr>
            <w:tcW w:w="2835" w:type="dxa"/>
          </w:tcPr>
          <w:p w14:paraId="4CA6807A" w14:textId="65B290B7" w:rsidR="00364659" w:rsidRPr="00A40FC2" w:rsidRDefault="00364659" w:rsidP="00364659">
            <w:pPr>
              <w:rPr>
                <w:rFonts w:ascii="Arial" w:eastAsia="Calibri" w:hAnsi="Arial" w:cs="Arial"/>
                <w:sz w:val="16"/>
                <w:szCs w:val="16"/>
                <w:lang w:val="uk" w:eastAsia="en-GB"/>
              </w:rPr>
            </w:pPr>
            <w:r w:rsidRPr="00A40FC2">
              <w:rPr>
                <w:rFonts w:ascii="Arial" w:eastAsia="Calibri" w:hAnsi="Arial" w:cs="Arial"/>
                <w:sz w:val="16"/>
                <w:szCs w:val="16"/>
                <w:lang w:eastAsia="en-GB"/>
              </w:rPr>
              <w:t xml:space="preserve">The presence of the counterparty on the exclusion list of </w:t>
            </w:r>
            <w:proofErr w:type="spellStart"/>
            <w:r w:rsidRPr="00A40FC2">
              <w:rPr>
                <w:rFonts w:ascii="Arial" w:eastAsia="Calibri" w:hAnsi="Arial" w:cs="Arial"/>
                <w:sz w:val="16"/>
                <w:szCs w:val="16"/>
                <w:lang w:eastAsia="en-GB"/>
              </w:rPr>
              <w:t>Enabel</w:t>
            </w:r>
            <w:proofErr w:type="spellEnd"/>
            <w:r w:rsidRPr="00A40FC2">
              <w:rPr>
                <w:rFonts w:ascii="Arial" w:eastAsia="Calibri" w:hAnsi="Arial" w:cs="Arial"/>
                <w:sz w:val="16"/>
                <w:szCs w:val="16"/>
                <w:lang w:eastAsia="en-GB"/>
              </w:rPr>
              <w:t xml:space="preserve"> because of such a failure serves as evidence. </w:t>
            </w:r>
          </w:p>
        </w:tc>
      </w:tr>
      <w:tr w:rsidR="00364659" w:rsidRPr="00A40FC2" w14:paraId="5523B007" w14:textId="2A9BA396" w:rsidTr="00A40FC2">
        <w:trPr>
          <w:trHeight w:val="1080"/>
        </w:trPr>
        <w:tc>
          <w:tcPr>
            <w:tcW w:w="1696" w:type="dxa"/>
            <w:hideMark/>
          </w:tcPr>
          <w:p w14:paraId="03DC0CF3" w14:textId="77777777" w:rsidR="00364659" w:rsidRPr="00A40FC2" w:rsidRDefault="00364659" w:rsidP="00364659">
            <w:pPr>
              <w:rPr>
                <w:rFonts w:ascii="Arial" w:eastAsia="Calibri" w:hAnsi="Arial" w:cs="Arial"/>
                <w:b/>
                <w:bCs/>
                <w:sz w:val="16"/>
                <w:szCs w:val="16"/>
                <w:lang w:eastAsia="en-GB"/>
              </w:rPr>
            </w:pPr>
            <w:r w:rsidRPr="00A40FC2">
              <w:rPr>
                <w:rFonts w:ascii="Arial" w:eastAsia="Calibri" w:hAnsi="Arial" w:cs="Arial"/>
                <w:b/>
                <w:bCs/>
                <w:sz w:val="16"/>
                <w:szCs w:val="16"/>
                <w:lang w:val="uk" w:eastAsia="en-GB"/>
              </w:rPr>
              <w:lastRenderedPageBreak/>
              <w:t>7. Фінансові санкції</w:t>
            </w:r>
          </w:p>
        </w:tc>
        <w:tc>
          <w:tcPr>
            <w:tcW w:w="2835" w:type="dxa"/>
            <w:hideMark/>
          </w:tcPr>
          <w:p w14:paraId="2BE965D3"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Щодо контрагента запроваджено обмежувальні заходи для припинення порушень міжнародного миру та безпеки, як-от тероризм, порушення прав людини, дестабілізація суверенних держав і розповсюдження зброї масового знищення.</w:t>
            </w:r>
          </w:p>
          <w:p w14:paraId="33F41530" w14:textId="77777777" w:rsidR="00364659" w:rsidRPr="00A40FC2" w:rsidRDefault="00364659" w:rsidP="00364659">
            <w:pPr>
              <w:rPr>
                <w:rFonts w:ascii="Arial" w:eastAsia="Calibri" w:hAnsi="Arial" w:cs="Arial"/>
                <w:sz w:val="16"/>
                <w:szCs w:val="16"/>
                <w:lang w:val="ru-RU" w:eastAsia="en-GB"/>
              </w:rPr>
            </w:pPr>
          </w:p>
          <w:p w14:paraId="35DD9B7E" w14:textId="77777777"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Контрагент або один із його керівників занесені до списків осіб, груп чи організацій, поданих Організацією Об’єднаних Націй, Європейським Союзом і Бельгією для застосування фінансових санкцій:</w:t>
            </w:r>
          </w:p>
          <w:p w14:paraId="11A30E70" w14:textId="2B303F54"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Список Організації Об’єднаних Націй:</w:t>
            </w:r>
          </w:p>
          <w:p w14:paraId="376D941D" w14:textId="77777777" w:rsidR="00364659" w:rsidRPr="00A40FC2" w:rsidRDefault="00AB4A58" w:rsidP="00364659">
            <w:pPr>
              <w:rPr>
                <w:rFonts w:ascii="Arial" w:eastAsia="Calibri" w:hAnsi="Arial" w:cs="Arial"/>
                <w:color w:val="0000FF"/>
                <w:sz w:val="16"/>
                <w:szCs w:val="16"/>
                <w:u w:val="single"/>
                <w:lang w:val="ru-RU" w:eastAsia="en-GB"/>
              </w:rPr>
            </w:pPr>
            <w:hyperlink r:id="rId9" w:history="1">
              <w:r w:rsidR="00364659" w:rsidRPr="00A40FC2">
                <w:rPr>
                  <w:rFonts w:ascii="Arial" w:eastAsia="Calibri" w:hAnsi="Arial" w:cs="Arial"/>
                  <w:color w:val="0000FF"/>
                  <w:sz w:val="16"/>
                  <w:szCs w:val="16"/>
                  <w:u w:val="single"/>
                  <w:lang w:val="uk" w:eastAsia="en-GB"/>
                </w:rPr>
                <w:t xml:space="preserve">https://finances.belgium.be/fr/tresorerie/sanctions-financieres/sanctions-internationales-nations-unies </w:t>
              </w:r>
            </w:hyperlink>
          </w:p>
          <w:p w14:paraId="01D7E392" w14:textId="77777777" w:rsidR="00364659" w:rsidRPr="00A40FC2" w:rsidRDefault="00364659" w:rsidP="00364659">
            <w:pPr>
              <w:rPr>
                <w:rFonts w:ascii="Arial" w:eastAsia="Calibri" w:hAnsi="Arial" w:cs="Arial"/>
                <w:sz w:val="16"/>
                <w:szCs w:val="16"/>
                <w:lang w:val="ru-RU" w:eastAsia="en-GB"/>
              </w:rPr>
            </w:pPr>
          </w:p>
          <w:p w14:paraId="52421302" w14:textId="77777777" w:rsidR="00364659" w:rsidRPr="00A40FC2" w:rsidRDefault="00364659" w:rsidP="00364659">
            <w:pPr>
              <w:rPr>
                <w:rFonts w:ascii="Arial" w:eastAsia="Calibri" w:hAnsi="Arial" w:cs="Arial"/>
                <w:color w:val="0000FF"/>
                <w:sz w:val="16"/>
                <w:szCs w:val="16"/>
                <w:u w:val="single"/>
                <w:lang w:val="ru-RU" w:eastAsia="en-GB"/>
              </w:rPr>
            </w:pPr>
            <w:r w:rsidRPr="00A40FC2">
              <w:rPr>
                <w:rFonts w:ascii="Arial" w:eastAsia="Calibri" w:hAnsi="Arial" w:cs="Arial"/>
                <w:sz w:val="16"/>
                <w:szCs w:val="16"/>
                <w:lang w:val="uk" w:eastAsia="en-GB"/>
              </w:rPr>
              <w:t>Списки Європейського Союзу:</w:t>
            </w:r>
          </w:p>
          <w:p w14:paraId="4BE00BB2" w14:textId="77777777" w:rsidR="00364659" w:rsidRPr="00A40FC2" w:rsidRDefault="00AB4A58" w:rsidP="00364659">
            <w:pPr>
              <w:rPr>
                <w:rFonts w:ascii="Arial" w:eastAsia="Calibri" w:hAnsi="Arial" w:cs="Arial"/>
                <w:color w:val="0000FF"/>
                <w:sz w:val="16"/>
                <w:szCs w:val="16"/>
                <w:u w:val="single"/>
                <w:lang w:val="ru-RU"/>
              </w:rPr>
            </w:pPr>
            <w:hyperlink r:id="rId10" w:history="1">
              <w:r w:rsidR="00364659" w:rsidRPr="00A40FC2">
                <w:rPr>
                  <w:rFonts w:ascii="Arial" w:eastAsia="Calibri" w:hAnsi="Arial" w:cs="Arial"/>
                  <w:color w:val="0000FF"/>
                  <w:sz w:val="16"/>
                  <w:szCs w:val="16"/>
                  <w:u w:val="single"/>
                  <w:lang w:val="uk"/>
                </w:rPr>
                <w:t xml:space="preserve">https://finances.belgium.be/fr/tresorerie/sanctions-financieres/sanctions-europ%C3%A9ennes-ue </w:t>
              </w:r>
            </w:hyperlink>
          </w:p>
          <w:p w14:paraId="6D2D7F95" w14:textId="77777777" w:rsidR="00364659" w:rsidRPr="00A40FC2" w:rsidRDefault="00364659" w:rsidP="00364659">
            <w:pPr>
              <w:rPr>
                <w:rFonts w:ascii="Arial" w:eastAsia="Calibri" w:hAnsi="Arial" w:cs="Arial"/>
                <w:color w:val="0000FF"/>
                <w:sz w:val="16"/>
                <w:szCs w:val="16"/>
                <w:u w:val="single"/>
                <w:lang w:val="ru-RU" w:eastAsia="en-GB"/>
              </w:rPr>
            </w:pPr>
          </w:p>
          <w:p w14:paraId="058461C1" w14:textId="77777777" w:rsidR="00364659" w:rsidRPr="00A40FC2" w:rsidRDefault="00AB4A58" w:rsidP="00364659">
            <w:pPr>
              <w:rPr>
                <w:rFonts w:ascii="Arial" w:eastAsia="Calibri" w:hAnsi="Arial" w:cs="Arial"/>
                <w:color w:val="0000FF"/>
                <w:sz w:val="16"/>
                <w:szCs w:val="16"/>
                <w:u w:val="single"/>
                <w:lang w:val="ru-RU" w:eastAsia="en-GB"/>
              </w:rPr>
            </w:pPr>
            <w:hyperlink r:id="rId11" w:history="1">
              <w:r w:rsidR="00364659" w:rsidRPr="00A40FC2">
                <w:rPr>
                  <w:rFonts w:ascii="Arial" w:eastAsia="Calibri" w:hAnsi="Arial" w:cs="Arial"/>
                  <w:color w:val="0000FF"/>
                  <w:sz w:val="16"/>
                  <w:szCs w:val="16"/>
                  <w:u w:val="single"/>
                  <w:lang w:val="uk" w:eastAsia="en-GB"/>
                </w:rPr>
                <w:t>https://eeas.europa.eu/headquarters/headquarters-homepage/8442/consolidated-list-sanctions_en</w:t>
              </w:r>
            </w:hyperlink>
          </w:p>
          <w:p w14:paraId="42A6EEDF" w14:textId="77777777" w:rsidR="00364659" w:rsidRPr="00A40FC2" w:rsidRDefault="00364659" w:rsidP="00364659">
            <w:pPr>
              <w:rPr>
                <w:rFonts w:ascii="Arial" w:eastAsia="Calibri" w:hAnsi="Arial" w:cs="Arial"/>
                <w:color w:val="0000FF"/>
                <w:sz w:val="16"/>
                <w:szCs w:val="16"/>
                <w:u w:val="single"/>
                <w:lang w:val="ru-RU" w:eastAsia="en-GB"/>
              </w:rPr>
            </w:pPr>
          </w:p>
          <w:p w14:paraId="1926BEF9" w14:textId="77777777" w:rsidR="00364659" w:rsidRPr="00A40FC2" w:rsidRDefault="00AB4A58" w:rsidP="00364659">
            <w:pPr>
              <w:rPr>
                <w:rFonts w:ascii="Arial" w:eastAsia="Calibri" w:hAnsi="Arial" w:cs="Arial"/>
                <w:color w:val="0000FF"/>
                <w:sz w:val="16"/>
                <w:szCs w:val="16"/>
                <w:u w:val="single"/>
                <w:lang w:val="ru-RU" w:eastAsia="en-GB"/>
              </w:rPr>
            </w:pPr>
            <w:hyperlink r:id="rId12" w:history="1">
              <w:r w:rsidR="00364659" w:rsidRPr="00A40FC2">
                <w:rPr>
                  <w:rFonts w:ascii="Arial" w:eastAsia="Calibri" w:hAnsi="Arial" w:cs="Arial"/>
                  <w:color w:val="0000FF"/>
                  <w:sz w:val="16"/>
                  <w:szCs w:val="16"/>
                  <w:u w:val="single"/>
                  <w:lang w:val="uk" w:eastAsia="en-GB"/>
                </w:rPr>
                <w:t xml:space="preserve">https://eeas.europa.eu/sites/eeas/files/restrictive_measures-2017-01-17-clean.pdf </w:t>
              </w:r>
            </w:hyperlink>
          </w:p>
          <w:p w14:paraId="7E7927C0" w14:textId="77777777" w:rsidR="00364659" w:rsidRPr="00A40FC2" w:rsidRDefault="00364659" w:rsidP="00364659">
            <w:pPr>
              <w:rPr>
                <w:rFonts w:ascii="Arial" w:eastAsia="Calibri" w:hAnsi="Arial" w:cs="Arial"/>
                <w:sz w:val="16"/>
                <w:szCs w:val="16"/>
                <w:lang w:val="ru-RU" w:eastAsia="en-GB"/>
              </w:rPr>
            </w:pPr>
          </w:p>
          <w:p w14:paraId="08F6F407" w14:textId="7C7CC384" w:rsidR="00364659" w:rsidRPr="00A40FC2" w:rsidRDefault="00364659" w:rsidP="00364659">
            <w:pPr>
              <w:rPr>
                <w:rFonts w:ascii="Arial" w:eastAsia="Calibri" w:hAnsi="Arial" w:cs="Arial"/>
                <w:sz w:val="16"/>
                <w:szCs w:val="16"/>
                <w:lang w:val="ru-RU" w:eastAsia="en-GB"/>
              </w:rPr>
            </w:pPr>
            <w:r w:rsidRPr="00A40FC2">
              <w:rPr>
                <w:rFonts w:ascii="Arial" w:eastAsia="Calibri" w:hAnsi="Arial" w:cs="Arial"/>
                <w:sz w:val="16"/>
                <w:szCs w:val="16"/>
                <w:lang w:val="uk" w:eastAsia="en-GB"/>
              </w:rPr>
              <w:t>Список Бельгії:</w:t>
            </w:r>
          </w:p>
          <w:p w14:paraId="04FC6D04" w14:textId="77777777" w:rsidR="00364659" w:rsidRPr="00A40FC2" w:rsidRDefault="00364659" w:rsidP="00364659">
            <w:pPr>
              <w:rPr>
                <w:rFonts w:ascii="Arial" w:eastAsia="Calibri" w:hAnsi="Arial" w:cs="Arial"/>
                <w:sz w:val="16"/>
                <w:szCs w:val="16"/>
                <w:lang w:val="ru-RU" w:eastAsia="en-GB"/>
              </w:rPr>
            </w:pPr>
          </w:p>
          <w:p w14:paraId="62EED5F8" w14:textId="77777777" w:rsidR="00364659" w:rsidRPr="00A40FC2" w:rsidRDefault="00AB4A58" w:rsidP="00364659">
            <w:pPr>
              <w:rPr>
                <w:rFonts w:ascii="Arial" w:eastAsia="Calibri" w:hAnsi="Arial" w:cs="Arial"/>
                <w:color w:val="0000FF"/>
                <w:sz w:val="16"/>
                <w:szCs w:val="16"/>
                <w:u w:val="single"/>
                <w:lang w:val="ru-RU" w:eastAsia="en-GB"/>
              </w:rPr>
            </w:pPr>
            <w:hyperlink r:id="rId13" w:history="1">
              <w:r w:rsidR="00364659" w:rsidRPr="00A40FC2">
                <w:rPr>
                  <w:rFonts w:ascii="Arial" w:eastAsia="Calibri" w:hAnsi="Arial" w:cs="Arial"/>
                  <w:color w:val="0000FF"/>
                  <w:sz w:val="16"/>
                  <w:szCs w:val="16"/>
                  <w:u w:val="single"/>
                  <w:lang w:val="uk" w:eastAsia="en-GB"/>
                </w:rPr>
                <w:t xml:space="preserve">https://finances.belgium.be/fr/sur_le_spf/structure_et_services/administrations_generales/tr%C3%A9sorerie/contr%C3%B4le-des-instruments-1-2 </w:t>
              </w:r>
            </w:hyperlink>
          </w:p>
          <w:p w14:paraId="7F9368AD" w14:textId="77777777" w:rsidR="00364659" w:rsidRPr="00A40FC2" w:rsidRDefault="00364659" w:rsidP="00364659">
            <w:pPr>
              <w:rPr>
                <w:rFonts w:ascii="Arial" w:eastAsia="Calibri" w:hAnsi="Arial" w:cs="Arial"/>
                <w:color w:val="0000FF"/>
                <w:sz w:val="16"/>
                <w:szCs w:val="16"/>
                <w:lang w:val="ru-RU" w:eastAsia="en-GB"/>
              </w:rPr>
            </w:pPr>
          </w:p>
        </w:tc>
        <w:tc>
          <w:tcPr>
            <w:tcW w:w="284" w:type="dxa"/>
            <w:tcBorders>
              <w:top w:val="nil"/>
              <w:bottom w:val="nil"/>
            </w:tcBorders>
          </w:tcPr>
          <w:p w14:paraId="3CCECD95" w14:textId="77777777" w:rsidR="00364659" w:rsidRPr="00A40FC2" w:rsidRDefault="00364659" w:rsidP="00364659">
            <w:pPr>
              <w:rPr>
                <w:rFonts w:ascii="Arial" w:eastAsia="Calibri" w:hAnsi="Arial" w:cs="Arial"/>
                <w:sz w:val="16"/>
                <w:szCs w:val="16"/>
                <w:lang w:val="uk" w:eastAsia="en-GB"/>
              </w:rPr>
            </w:pPr>
          </w:p>
        </w:tc>
        <w:tc>
          <w:tcPr>
            <w:tcW w:w="1276" w:type="dxa"/>
          </w:tcPr>
          <w:p w14:paraId="048E01A3" w14:textId="2E65207C" w:rsidR="00364659" w:rsidRPr="00A40FC2" w:rsidRDefault="00364659" w:rsidP="00364659">
            <w:pPr>
              <w:rPr>
                <w:rFonts w:ascii="Arial" w:eastAsia="Calibri" w:hAnsi="Arial" w:cs="Arial"/>
                <w:sz w:val="16"/>
                <w:szCs w:val="16"/>
                <w:lang w:val="uk" w:eastAsia="en-GB"/>
              </w:rPr>
            </w:pPr>
            <w:r w:rsidRPr="00A40FC2">
              <w:rPr>
                <w:rFonts w:ascii="Arial" w:eastAsia="Calibri" w:hAnsi="Arial" w:cs="Arial"/>
                <w:b/>
                <w:bCs/>
                <w:sz w:val="16"/>
                <w:szCs w:val="16"/>
                <w:lang w:eastAsia="en-GB"/>
              </w:rPr>
              <w:t>7) Financial sanctions</w:t>
            </w:r>
          </w:p>
        </w:tc>
        <w:tc>
          <w:tcPr>
            <w:tcW w:w="2835" w:type="dxa"/>
          </w:tcPr>
          <w:p w14:paraId="0E669AD2"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Restrictive measures have been taken vis-à-vis the counterparty with a view of ending violations of international peace and security such as terrorism, human-rights violations, the destabilisation of sovereign states and de proliferation of weapons of mass destruction.</w:t>
            </w:r>
          </w:p>
          <w:p w14:paraId="114E11B4" w14:textId="77777777" w:rsidR="00364659" w:rsidRPr="00A40FC2" w:rsidRDefault="00364659" w:rsidP="00364659">
            <w:pPr>
              <w:rPr>
                <w:rFonts w:ascii="Arial" w:eastAsia="Calibri" w:hAnsi="Arial" w:cs="Arial"/>
                <w:sz w:val="16"/>
                <w:szCs w:val="16"/>
                <w:lang w:eastAsia="en-GB"/>
              </w:rPr>
            </w:pPr>
          </w:p>
          <w:p w14:paraId="7B09EEB1"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The counterparty or one of its directors are on the lists of persons, groups or entities submitted by the United Nations, the European Union and Belgium for financial sanctions:</w:t>
            </w:r>
          </w:p>
          <w:p w14:paraId="4717075E" w14:textId="77777777" w:rsidR="00364659" w:rsidRPr="00A40FC2" w:rsidRDefault="00364659" w:rsidP="00364659">
            <w:pPr>
              <w:rPr>
                <w:rFonts w:ascii="Arial" w:eastAsia="Calibri" w:hAnsi="Arial" w:cs="Arial"/>
                <w:sz w:val="16"/>
                <w:szCs w:val="16"/>
                <w:lang w:eastAsia="en-GB"/>
              </w:rPr>
            </w:pPr>
            <w:r w:rsidRPr="00A40FC2">
              <w:rPr>
                <w:rFonts w:ascii="Arial" w:eastAsia="Calibri" w:hAnsi="Arial" w:cs="Arial"/>
                <w:sz w:val="16"/>
                <w:szCs w:val="16"/>
                <w:lang w:eastAsia="en-GB"/>
              </w:rPr>
              <w:t>For the United Nations, the lists can be consulted at the following address:</w:t>
            </w:r>
          </w:p>
          <w:p w14:paraId="59827FC8" w14:textId="77777777" w:rsidR="00364659" w:rsidRPr="00A40FC2" w:rsidRDefault="00AB4A58" w:rsidP="00364659">
            <w:pPr>
              <w:rPr>
                <w:rFonts w:ascii="Arial" w:eastAsia="Calibri" w:hAnsi="Arial" w:cs="Arial"/>
                <w:color w:val="0000FF"/>
                <w:sz w:val="16"/>
                <w:szCs w:val="16"/>
                <w:u w:val="single"/>
                <w:lang w:eastAsia="en-GB"/>
              </w:rPr>
            </w:pPr>
            <w:hyperlink r:id="rId14" w:history="1">
              <w:r w:rsidR="00364659" w:rsidRPr="00A40FC2">
                <w:rPr>
                  <w:rFonts w:ascii="Arial" w:eastAsia="Calibri" w:hAnsi="Arial" w:cs="Arial"/>
                  <w:color w:val="0000FF"/>
                  <w:sz w:val="16"/>
                  <w:szCs w:val="16"/>
                  <w:u w:val="single"/>
                  <w:lang w:eastAsia="en-GB"/>
                </w:rPr>
                <w:t xml:space="preserve">https://finances.belgium.be/fr/tresorerie/sanctions-financieres/sanctions-internationales-nations-unies </w:t>
              </w:r>
            </w:hyperlink>
          </w:p>
          <w:p w14:paraId="7E6D054D" w14:textId="77777777" w:rsidR="00364659" w:rsidRPr="00A40FC2" w:rsidRDefault="00364659" w:rsidP="00364659">
            <w:pPr>
              <w:rPr>
                <w:rFonts w:ascii="Arial" w:eastAsia="Calibri" w:hAnsi="Arial" w:cs="Arial"/>
                <w:sz w:val="16"/>
                <w:szCs w:val="16"/>
                <w:lang w:eastAsia="en-GB"/>
              </w:rPr>
            </w:pPr>
          </w:p>
          <w:p w14:paraId="37715F86" w14:textId="77777777" w:rsidR="00364659" w:rsidRPr="00A40FC2" w:rsidRDefault="00364659" w:rsidP="00364659">
            <w:pPr>
              <w:rPr>
                <w:rFonts w:ascii="Arial" w:eastAsia="Calibri" w:hAnsi="Arial" w:cs="Arial"/>
                <w:color w:val="0000FF"/>
                <w:sz w:val="16"/>
                <w:szCs w:val="16"/>
                <w:u w:val="single"/>
                <w:lang w:eastAsia="en-GB"/>
              </w:rPr>
            </w:pPr>
            <w:r w:rsidRPr="00A40FC2">
              <w:rPr>
                <w:rFonts w:ascii="Arial" w:eastAsia="Calibri" w:hAnsi="Arial" w:cs="Arial"/>
                <w:sz w:val="16"/>
                <w:szCs w:val="16"/>
                <w:lang w:eastAsia="en-GB"/>
              </w:rPr>
              <w:t>For the European Union, the lists can be consulted at the following address:</w:t>
            </w:r>
          </w:p>
          <w:p w14:paraId="136A5799" w14:textId="77777777" w:rsidR="00364659" w:rsidRPr="00A40FC2" w:rsidRDefault="00AB4A58" w:rsidP="00364659">
            <w:pPr>
              <w:spacing w:line="276" w:lineRule="auto"/>
              <w:rPr>
                <w:rFonts w:ascii="Arial" w:eastAsia="Calibri" w:hAnsi="Arial" w:cs="Arial"/>
                <w:color w:val="0000FF"/>
                <w:sz w:val="16"/>
                <w:szCs w:val="16"/>
                <w:u w:val="single"/>
              </w:rPr>
            </w:pPr>
            <w:hyperlink r:id="rId15" w:history="1">
              <w:r w:rsidR="00364659" w:rsidRPr="00A40FC2">
                <w:rPr>
                  <w:rFonts w:ascii="Arial" w:eastAsia="Calibri" w:hAnsi="Arial" w:cs="Arial"/>
                  <w:color w:val="0000FF"/>
                  <w:sz w:val="16"/>
                  <w:szCs w:val="16"/>
                  <w:u w:val="single"/>
                </w:rPr>
                <w:t xml:space="preserve">https://finances.belgium.be/fr/tresorerie/sanctions-financieres/sanctions-europ%C3%A9ennes-ue </w:t>
              </w:r>
            </w:hyperlink>
          </w:p>
          <w:p w14:paraId="71AF39BB" w14:textId="77777777" w:rsidR="00364659" w:rsidRPr="00A40FC2" w:rsidRDefault="00364659" w:rsidP="00364659">
            <w:pPr>
              <w:rPr>
                <w:rFonts w:ascii="Arial" w:eastAsia="Calibri" w:hAnsi="Arial" w:cs="Arial"/>
                <w:color w:val="0000FF"/>
                <w:sz w:val="16"/>
                <w:szCs w:val="16"/>
                <w:u w:val="single"/>
                <w:lang w:eastAsia="en-GB"/>
              </w:rPr>
            </w:pPr>
          </w:p>
          <w:p w14:paraId="6A46C121" w14:textId="77777777" w:rsidR="00364659" w:rsidRPr="00A40FC2" w:rsidRDefault="00AB4A58" w:rsidP="00364659">
            <w:pPr>
              <w:rPr>
                <w:rFonts w:ascii="Arial" w:eastAsia="Calibri" w:hAnsi="Arial" w:cs="Arial"/>
                <w:color w:val="0000FF"/>
                <w:sz w:val="16"/>
                <w:szCs w:val="16"/>
                <w:u w:val="single"/>
                <w:lang w:eastAsia="en-GB"/>
              </w:rPr>
            </w:pPr>
            <w:hyperlink r:id="rId16" w:history="1">
              <w:r w:rsidR="00364659" w:rsidRPr="00A40FC2">
                <w:rPr>
                  <w:rFonts w:ascii="Arial" w:eastAsia="Calibri" w:hAnsi="Arial" w:cs="Arial"/>
                  <w:color w:val="0000FF"/>
                  <w:sz w:val="16"/>
                  <w:szCs w:val="16"/>
                  <w:u w:val="single"/>
                  <w:lang w:eastAsia="en-GB"/>
                </w:rPr>
                <w:t>https://eeas.europa.eu/headquarters/headquarters-homepage/8442/consolidated-list-sanctions_en</w:t>
              </w:r>
            </w:hyperlink>
          </w:p>
          <w:p w14:paraId="376BF51E" w14:textId="77777777" w:rsidR="00364659" w:rsidRPr="00A40FC2" w:rsidRDefault="00364659" w:rsidP="00364659">
            <w:pPr>
              <w:rPr>
                <w:rFonts w:ascii="Arial" w:eastAsia="Calibri" w:hAnsi="Arial" w:cs="Arial"/>
                <w:color w:val="0000FF"/>
                <w:sz w:val="16"/>
                <w:szCs w:val="16"/>
                <w:u w:val="single"/>
                <w:lang w:eastAsia="en-GB"/>
              </w:rPr>
            </w:pPr>
          </w:p>
          <w:p w14:paraId="43A7497A" w14:textId="77777777" w:rsidR="00364659" w:rsidRPr="00A40FC2" w:rsidRDefault="00AB4A58" w:rsidP="00364659">
            <w:pPr>
              <w:rPr>
                <w:rFonts w:ascii="Arial" w:eastAsia="Calibri" w:hAnsi="Arial" w:cs="Arial"/>
                <w:color w:val="0000FF"/>
                <w:sz w:val="16"/>
                <w:szCs w:val="16"/>
                <w:u w:val="single"/>
                <w:lang w:eastAsia="en-GB"/>
              </w:rPr>
            </w:pPr>
            <w:hyperlink r:id="rId17" w:history="1">
              <w:r w:rsidR="00364659" w:rsidRPr="00A40FC2">
                <w:rPr>
                  <w:rFonts w:ascii="Arial" w:eastAsia="Calibri" w:hAnsi="Arial" w:cs="Arial"/>
                  <w:color w:val="0000FF"/>
                  <w:sz w:val="16"/>
                  <w:szCs w:val="16"/>
                  <w:u w:val="single"/>
                  <w:lang w:eastAsia="en-GB"/>
                </w:rPr>
                <w:t xml:space="preserve">https://eeas.europa.eu/sites/eeas/files/restrictive_measures-2017-01-17-clean.pdf </w:t>
              </w:r>
            </w:hyperlink>
          </w:p>
          <w:p w14:paraId="03BAB566" w14:textId="77777777" w:rsidR="00364659" w:rsidRPr="00A40FC2" w:rsidRDefault="00364659" w:rsidP="00364659">
            <w:pPr>
              <w:rPr>
                <w:rFonts w:ascii="Arial" w:eastAsia="Calibri" w:hAnsi="Arial" w:cs="Arial"/>
                <w:sz w:val="16"/>
                <w:szCs w:val="16"/>
                <w:lang w:eastAsia="en-GB"/>
              </w:rPr>
            </w:pPr>
          </w:p>
          <w:p w14:paraId="2CCDC8FF" w14:textId="77777777" w:rsidR="00364659" w:rsidRPr="00A40FC2" w:rsidRDefault="00364659" w:rsidP="00364659">
            <w:pPr>
              <w:rPr>
                <w:rFonts w:ascii="Arial" w:eastAsia="Calibri" w:hAnsi="Arial" w:cs="Arial"/>
                <w:sz w:val="16"/>
                <w:szCs w:val="16"/>
                <w:lang w:val="en-US" w:eastAsia="en-GB"/>
              </w:rPr>
            </w:pPr>
            <w:r w:rsidRPr="00A40FC2">
              <w:rPr>
                <w:rFonts w:ascii="Arial" w:eastAsia="Calibri" w:hAnsi="Arial" w:cs="Arial"/>
                <w:sz w:val="16"/>
                <w:szCs w:val="16"/>
                <w:lang w:val="en-US" w:eastAsia="en-GB"/>
              </w:rPr>
              <w:t>For Belgium:</w:t>
            </w:r>
          </w:p>
          <w:p w14:paraId="6DA4A84A" w14:textId="77777777" w:rsidR="00364659" w:rsidRPr="00A40FC2" w:rsidRDefault="00364659" w:rsidP="00364659">
            <w:pPr>
              <w:rPr>
                <w:rFonts w:ascii="Arial" w:eastAsia="Calibri" w:hAnsi="Arial" w:cs="Arial"/>
                <w:sz w:val="16"/>
                <w:szCs w:val="16"/>
                <w:lang w:val="en-US" w:eastAsia="en-GB"/>
              </w:rPr>
            </w:pPr>
          </w:p>
          <w:p w14:paraId="60D90DED" w14:textId="77777777" w:rsidR="00364659" w:rsidRPr="00A40FC2" w:rsidRDefault="00AB4A58" w:rsidP="00364659">
            <w:pPr>
              <w:rPr>
                <w:rFonts w:ascii="Arial" w:eastAsia="Calibri" w:hAnsi="Arial" w:cs="Arial"/>
                <w:color w:val="0000FF"/>
                <w:sz w:val="16"/>
                <w:szCs w:val="16"/>
                <w:u w:val="single"/>
                <w:lang w:val="en-US" w:eastAsia="en-GB"/>
              </w:rPr>
            </w:pPr>
            <w:hyperlink r:id="rId18" w:history="1">
              <w:r w:rsidR="00364659" w:rsidRPr="00A40FC2">
                <w:rPr>
                  <w:rFonts w:ascii="Arial" w:eastAsia="Calibri" w:hAnsi="Arial" w:cs="Arial"/>
                  <w:color w:val="0000FF"/>
                  <w:sz w:val="16"/>
                  <w:szCs w:val="16"/>
                  <w:u w:val="single"/>
                  <w:lang w:val="en-US" w:eastAsia="en-GB"/>
                </w:rPr>
                <w:t xml:space="preserve">https://finances.belgium.be/fr/sur_le_spf/structure_et_services/administrations_generales/tr%C3%A9sorerie/contr%C3%B4le-des-instruments-1-2 </w:t>
              </w:r>
            </w:hyperlink>
          </w:p>
          <w:p w14:paraId="2FDF7C7F" w14:textId="6F1E9D86" w:rsidR="00364659" w:rsidRPr="00A40FC2" w:rsidRDefault="00364659" w:rsidP="00364659">
            <w:pPr>
              <w:rPr>
                <w:rFonts w:ascii="Arial" w:eastAsia="Calibri" w:hAnsi="Arial" w:cs="Arial"/>
                <w:sz w:val="16"/>
                <w:szCs w:val="16"/>
                <w:lang w:val="uk" w:eastAsia="en-GB"/>
              </w:rPr>
            </w:pPr>
          </w:p>
        </w:tc>
      </w:tr>
    </w:tbl>
    <w:p w14:paraId="5524EE0F" w14:textId="77777777" w:rsidR="00A82AF5" w:rsidRPr="00364659" w:rsidRDefault="00A82AF5" w:rsidP="00A82AF5">
      <w:pPr>
        <w:spacing w:after="0" w:line="240" w:lineRule="auto"/>
        <w:rPr>
          <w:rFonts w:ascii="Arial" w:eastAsia="Times New Roman" w:hAnsi="Arial" w:cs="Times New Roman"/>
          <w:sz w:val="20"/>
          <w:szCs w:val="24"/>
          <w:lang w:val="en-US" w:eastAsia="en-GB"/>
        </w:rPr>
      </w:pPr>
    </w:p>
    <w:p w14:paraId="04CD9669" w14:textId="53766C21" w:rsidR="00A82AF5" w:rsidRPr="00364659" w:rsidRDefault="00A82AF5" w:rsidP="008F699B">
      <w:pPr>
        <w:spacing w:after="0" w:line="240" w:lineRule="auto"/>
        <w:rPr>
          <w:rFonts w:ascii="Arial" w:eastAsia="Times New Roman" w:hAnsi="Arial" w:cs="Times New Roman"/>
          <w:sz w:val="20"/>
          <w:szCs w:val="24"/>
          <w:lang w:val="en-US" w:eastAsia="en-GB"/>
        </w:rPr>
      </w:pPr>
    </w:p>
    <w:sectPr w:rsidR="00A82AF5" w:rsidRPr="003646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90DF8"/>
    <w:multiLevelType w:val="hybridMultilevel"/>
    <w:tmpl w:val="A01E2300"/>
    <w:lvl w:ilvl="0" w:tplc="DA2A2534">
      <w:start w:val="1"/>
      <w:numFmt w:val="lowerLetter"/>
      <w:lvlText w:val="%1."/>
      <w:lvlJc w:val="left"/>
      <w:pPr>
        <w:ind w:left="750" w:hanging="390"/>
      </w:pPr>
      <w:rPr>
        <w:rFonts w:hint="default"/>
      </w:rPr>
    </w:lvl>
    <w:lvl w:ilvl="1" w:tplc="89FAC7D2" w:tentative="1">
      <w:start w:val="1"/>
      <w:numFmt w:val="lowerLetter"/>
      <w:lvlText w:val="%2."/>
      <w:lvlJc w:val="left"/>
      <w:pPr>
        <w:ind w:left="1440" w:hanging="360"/>
      </w:pPr>
    </w:lvl>
    <w:lvl w:ilvl="2" w:tplc="760AD61C" w:tentative="1">
      <w:start w:val="1"/>
      <w:numFmt w:val="lowerRoman"/>
      <w:lvlText w:val="%3."/>
      <w:lvlJc w:val="right"/>
      <w:pPr>
        <w:ind w:left="2160" w:hanging="180"/>
      </w:pPr>
    </w:lvl>
    <w:lvl w:ilvl="3" w:tplc="8EF0291A" w:tentative="1">
      <w:start w:val="1"/>
      <w:numFmt w:val="decimal"/>
      <w:lvlText w:val="%4."/>
      <w:lvlJc w:val="left"/>
      <w:pPr>
        <w:ind w:left="2880" w:hanging="360"/>
      </w:pPr>
    </w:lvl>
    <w:lvl w:ilvl="4" w:tplc="20467836" w:tentative="1">
      <w:start w:val="1"/>
      <w:numFmt w:val="lowerLetter"/>
      <w:lvlText w:val="%5."/>
      <w:lvlJc w:val="left"/>
      <w:pPr>
        <w:ind w:left="3600" w:hanging="360"/>
      </w:pPr>
    </w:lvl>
    <w:lvl w:ilvl="5" w:tplc="2A6E423E" w:tentative="1">
      <w:start w:val="1"/>
      <w:numFmt w:val="lowerRoman"/>
      <w:lvlText w:val="%6."/>
      <w:lvlJc w:val="right"/>
      <w:pPr>
        <w:ind w:left="4320" w:hanging="180"/>
      </w:pPr>
    </w:lvl>
    <w:lvl w:ilvl="6" w:tplc="BBDA38A8" w:tentative="1">
      <w:start w:val="1"/>
      <w:numFmt w:val="decimal"/>
      <w:lvlText w:val="%7."/>
      <w:lvlJc w:val="left"/>
      <w:pPr>
        <w:ind w:left="5040" w:hanging="360"/>
      </w:pPr>
    </w:lvl>
    <w:lvl w:ilvl="7" w:tplc="F8E87C12" w:tentative="1">
      <w:start w:val="1"/>
      <w:numFmt w:val="lowerLetter"/>
      <w:lvlText w:val="%8."/>
      <w:lvlJc w:val="left"/>
      <w:pPr>
        <w:ind w:left="5760" w:hanging="360"/>
      </w:pPr>
    </w:lvl>
    <w:lvl w:ilvl="8" w:tplc="613809C4"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AF5"/>
    <w:rsid w:val="00000B9C"/>
    <w:rsid w:val="001E2390"/>
    <w:rsid w:val="00364659"/>
    <w:rsid w:val="00387DD7"/>
    <w:rsid w:val="003E7A6D"/>
    <w:rsid w:val="00436E68"/>
    <w:rsid w:val="004E3958"/>
    <w:rsid w:val="0053406D"/>
    <w:rsid w:val="006B26BE"/>
    <w:rsid w:val="008F699B"/>
    <w:rsid w:val="00A40FC2"/>
    <w:rsid w:val="00A82AF5"/>
    <w:rsid w:val="00AB4A58"/>
    <w:rsid w:val="00AD62FC"/>
    <w:rsid w:val="00F949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79B10"/>
  <w15:chartTrackingRefBased/>
  <w15:docId w15:val="{3BAF7898-301F-4A18-B14C-337695E16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1">
    <w:name w:val="Table Grid1"/>
    <w:basedOn w:val="a1"/>
    <w:next w:val="a3"/>
    <w:uiPriority w:val="59"/>
    <w:rsid w:val="00A82AF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A82A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nances.belgium.be/fr/sur_le_spf/structure_et_services/administrations_generales/tr&#233;sorerie/contr&#244;le-des-instruments-1-2" TargetMode="External"/><Relationship Id="rId18" Type="http://schemas.openxmlformats.org/officeDocument/2006/relationships/hyperlink" Target="https://finances.belgium.be/fr/sur_le_spf/structure_et_services/administrations_generales/tr&#233;sorerie/contr&#244;le-des-instruments-1-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eas.europa.eu/sites/eeas/files/restrictive_measures-2017-01-17-clean.pdf" TargetMode="External"/><Relationship Id="rId17" Type="http://schemas.openxmlformats.org/officeDocument/2006/relationships/hyperlink" Target="https://eeas.europa.eu/sites/eeas/files/restrictive_measures-2017-01-17-clean.pdf" TargetMode="External"/><Relationship Id="rId2" Type="http://schemas.openxmlformats.org/officeDocument/2006/relationships/customXml" Target="../customXml/item2.xml"/><Relationship Id="rId16" Type="http://schemas.openxmlformats.org/officeDocument/2006/relationships/hyperlink" Target="https://eeas.europa.eu/headquarters/headquarters-homepage/8442/consolidated-list-sanctions_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eas.europa.eu/headquarters/headquarters-homepage/8442/consolidated-list-sanctions_en" TargetMode="External"/><Relationship Id="rId5" Type="http://schemas.openxmlformats.org/officeDocument/2006/relationships/numbering" Target="numbering.xml"/><Relationship Id="rId15" Type="http://schemas.openxmlformats.org/officeDocument/2006/relationships/hyperlink" Target="https://finances.belgium.be/fr/tresorerie/sanctions-financieres/sanctions-europ&#233;ennes-ue" TargetMode="External"/><Relationship Id="rId10" Type="http://schemas.openxmlformats.org/officeDocument/2006/relationships/hyperlink" Target="https://finances.belgium.be/fr/tresorerie/sanctions-financieres/sanctions-europ&#233;ennes-ue"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finances.belgium.be/fr/tresorerie/sanctions-financieres/sanctions-internationales-nations-unies" TargetMode="External"/><Relationship Id="rId14" Type="http://schemas.openxmlformats.org/officeDocument/2006/relationships/hyperlink" Target="https://finances.belgium.be/fr/tresorerie/sanctions-financieres/sanctions-internationales-nations-un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cdc023c8-7b34-4b3d-a645-39b6beed55be">
      <Value>12</Value>
      <Value>158</Value>
      <Value>32</Value>
      <Value>5</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eb0f068f-7d92-44c4-a2e1-052290512cff</TermId>
        </TermInfo>
      </Terms>
    </o99d250c03344da181939f0145dbc023>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NER</TermName>
          <TermId xmlns="http://schemas.microsoft.com/office/infopath/2007/PartnerControls">9ea7551c-3779-4ad9-9661-273f91da302a</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_dlc_DocId xmlns="508ba6eb-9e09-4fd5-92f2-2d9921329f2d">UKRENABEL-897847285-35122</_dlc_DocId>
    <_dlc_DocIdUrl xmlns="508ba6eb-9e09-4fd5-92f2-2d9921329f2d">
      <Url>https://enabelbe.sharepoint.com/sites/UKR/_layouts/15/DocIdRedir.aspx?ID=UKRENABEL-897847285-35122</Url>
      <Description>UKRENABEL-897847285-35122</Description>
    </_dlc_DocIdUrl>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UKR24001</TermName>
          <TermId xmlns="http://schemas.microsoft.com/office/infopath/2007/PartnerControls">35ff42be-5d83-40a5-90aa-02075e4babe4</TermId>
        </TermInfo>
      </Terms>
    </e2b781e9cad840cd89b90f5a7e989839>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UKR24001-10067</TermName>
          <TermId xmlns="http://schemas.microsoft.com/office/infopath/2007/PartnerControls">a1d6492e-4df7-4a39-8654-6e2db7936d24</TermId>
        </TermInfo>
      </Terms>
    </l9d65098618b4a8fbbe87718e7187e6b>
  </documentManagement>
</p:properties>
</file>

<file path=customXml/item3.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A418D12E6E36A64E9F774715E5D6A491" ma:contentTypeVersion="23" ma:contentTypeDescription="" ma:contentTypeScope="" ma:versionID="70a0598fc23ae87f11e6865eb96040c5">
  <xsd:schema xmlns:xsd="http://www.w3.org/2001/XMLSchema" xmlns:xs="http://www.w3.org/2001/XMLSchema" xmlns:p="http://schemas.microsoft.com/office/2006/metadata/properties" xmlns:ns1="http://schemas.microsoft.com/sharepoint/v3" xmlns:ns2="14a9c00f-d9e3-4eb9-aad3-f69239d17d9c" xmlns:ns3="cdc023c8-7b34-4b3d-a645-39b6beed55be" xmlns:ns4="96fff1cf-56a1-468e-a250-80fb996b62cb" xmlns:ns5="508ba6eb-9e09-4fd5-92f2-2d9921329f2d" targetNamespace="http://schemas.microsoft.com/office/2006/metadata/properties" ma:root="true" ma:fieldsID="b1749bd68543f4c32c7bc3b7d640f9f0" ns1:_="" ns2:_="" ns3:_="" ns4:_="" ns5:_="">
    <xsd:import namespace="http://schemas.microsoft.com/sharepoint/v3"/>
    <xsd:import namespace="14a9c00f-d9e3-4eb9-aad3-f69239d17d9c"/>
    <xsd:import namespace="cdc023c8-7b34-4b3d-a645-39b6beed55be"/>
    <xsd:import namespace="96fff1cf-56a1-468e-a250-80fb996b62cb"/>
    <xsd:import namespace="508ba6eb-9e09-4fd5-92f2-2d9921329f2d"/>
    <xsd:element name="properties">
      <xsd:complexType>
        <xsd:sequence>
          <xsd:element name="documentManagement">
            <xsd:complexType>
              <xsd:all>
                <xsd:element ref="ns2:o99d250c03344da181939f0145dbc023" minOccurs="0"/>
                <xsd:element ref="ns3:TaxCatchAll" minOccurs="0"/>
                <xsd:element ref="ns4: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5:_dlc_DocIdPersistId" minOccurs="0"/>
                <xsd:element ref="ns5:_dlc_DocId" minOccurs="0"/>
                <xsd:element ref="ns5:_dlc_DocIdUrl" minOccurs="0"/>
                <xsd:element ref="ns4:MediaServiceDateTaken"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2;#EN|eb0f068f-7d92-44c4-a2e1-052290512cff"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UKR|7def722a-1665-457a-9449-ba768f8840c2"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023c8-7b34-4b3d-a645-39b6beed55be"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ee7a6f7a-ea42-4b0d-a232-12d364487828}" ma:internalName="TaxCatchAll" ma:showField="CatchAllData" ma:web="cdc023c8-7b34-4b3d-a645-39b6beed55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fff1cf-56a1-468e-a250-80fb996b62cb" elementFormDefault="qualified">
    <xsd:import namespace="http://schemas.microsoft.com/office/2006/documentManagement/types"/>
    <xsd:import namespace="http://schemas.microsoft.com/office/infopath/2007/PartnerControls"/>
    <xsd:element name="TaxCatchAllLabel" ma:index="10" nillable="true" ma:displayName="Taxonomy Catch All Column1" ma:hidden="true" ma:list="{ee7a6f7a-ea42-4b0d-a232-12d364487828}"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9CAC096-F3B1-4A82-AF66-4EE7843F9373}">
  <ds:schemaRefs>
    <ds:schemaRef ds:uri="http://schemas.microsoft.com/sharepoint/v3/contenttype/forms"/>
  </ds:schemaRefs>
</ds:datastoreItem>
</file>

<file path=customXml/itemProps2.xml><?xml version="1.0" encoding="utf-8"?>
<ds:datastoreItem xmlns:ds="http://schemas.openxmlformats.org/officeDocument/2006/customXml" ds:itemID="{C07B08DB-A780-46BA-A403-D0D7B4BEECB6}">
  <ds:schemaRefs>
    <ds:schemaRef ds:uri="http://schemas.microsoft.com/office/2006/metadata/properties"/>
    <ds:schemaRef ds:uri="http://schemas.microsoft.com/office/infopath/2007/PartnerControls"/>
    <ds:schemaRef ds:uri="http://schemas.microsoft.com/sharepoint/v3"/>
    <ds:schemaRef ds:uri="cdc023c8-7b34-4b3d-a645-39b6beed55be"/>
    <ds:schemaRef ds:uri="535a2da4-700c-4c98-a0a0-8d3f26882078"/>
    <ds:schemaRef ds:uri="14a9c00f-d9e3-4eb9-aad3-f69239d17d9c"/>
    <ds:schemaRef ds:uri="508ba6eb-9e09-4fd5-92f2-2d9921329f2d"/>
  </ds:schemaRefs>
</ds:datastoreItem>
</file>

<file path=customXml/itemProps3.xml><?xml version="1.0" encoding="utf-8"?>
<ds:datastoreItem xmlns:ds="http://schemas.openxmlformats.org/officeDocument/2006/customXml" ds:itemID="{1D602A47-3FEE-4A80-9A6A-283F5938F99C}"/>
</file>

<file path=customXml/itemProps4.xml><?xml version="1.0" encoding="utf-8"?>
<ds:datastoreItem xmlns:ds="http://schemas.openxmlformats.org/officeDocument/2006/customXml" ds:itemID="{1D8EF633-5B19-4416-8A36-2BF8BE1B0C3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7012</Words>
  <Characters>3998</Characters>
  <Application>Microsoft Office Word</Application>
  <DocSecurity>0</DocSecurity>
  <Lines>33</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SAEED, Maram</dc:creator>
  <cp:lastModifiedBy>liudmyla hlushko</cp:lastModifiedBy>
  <cp:revision>4</cp:revision>
  <dcterms:created xsi:type="dcterms:W3CDTF">2025-09-03T16:37:00Z</dcterms:created>
  <dcterms:modified xsi:type="dcterms:W3CDTF">2025-09-11T17:57:00Z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0x0101002C34C447E6454A40A553EE97A6C4718600A418D12E6E36A64E9F774715E5D6A491</vt:lpwstr>
  </property>
  <property fmtid="{D5CDD505-2E9C-101B-9397-08002B2CF9AE}" pid="4" name="Country">
    <vt:lpwstr>5;#NER|9ea7551c-3779-4ad9-9661-273f91da302a</vt:lpwstr>
  </property>
  <property fmtid="{D5CDD505-2E9C-101B-9397-08002B2CF9AE}" pid="5" name="Document_Language">
    <vt:lpwstr>12</vt:lpwstr>
  </property>
  <property fmtid="{D5CDD505-2E9C-101B-9397-08002B2CF9AE}" pid="6" name="Document_Status">
    <vt:lpwstr/>
  </property>
  <property fmtid="{D5CDD505-2E9C-101B-9397-08002B2CF9AE}" pid="7" name="Document_Type">
    <vt:lpwstr/>
  </property>
  <property fmtid="{D5CDD505-2E9C-101B-9397-08002B2CF9AE}" pid="8" name="MediaServiceImageTags">
    <vt:lpwstr/>
  </property>
  <property fmtid="{D5CDD505-2E9C-101B-9397-08002B2CF9AE}" pid="9" name="Order">
    <vt:r8>850500</vt:r8>
  </property>
  <property fmtid="{D5CDD505-2E9C-101B-9397-08002B2CF9AE}" pid="10" name="TemplateUrl">
    <vt:lpwstr/>
  </property>
  <property fmtid="{D5CDD505-2E9C-101B-9397-08002B2CF9AE}" pid="11" name="TriggerFlowInfo">
    <vt:lpwstr/>
  </property>
  <property fmtid="{D5CDD505-2E9C-101B-9397-08002B2CF9AE}" pid="12" name="xd_ProgID">
    <vt:lpwstr/>
  </property>
  <property fmtid="{D5CDD505-2E9C-101B-9397-08002B2CF9AE}" pid="13" name="xd_Signature">
    <vt:bool>false</vt:bool>
  </property>
  <property fmtid="{D5CDD505-2E9C-101B-9397-08002B2CF9AE}" pid="14" name="_dlc_DocIdItemGuid">
    <vt:lpwstr>831f55f9-67d9-479a-970f-31c9b15a4bcf</vt:lpwstr>
  </property>
  <property fmtid="{D5CDD505-2E9C-101B-9397-08002B2CF9AE}" pid="15" name="_ExtendedDescription">
    <vt:lpwstr/>
  </property>
  <property fmtid="{D5CDD505-2E9C-101B-9397-08002B2CF9AE}" pid="16" name="Contract_reference">
    <vt:lpwstr>158</vt:lpwstr>
  </property>
  <property fmtid="{D5CDD505-2E9C-101B-9397-08002B2CF9AE}" pid="17" name="Project_code">
    <vt:lpwstr>32</vt:lpwstr>
  </property>
  <property fmtid="{D5CDD505-2E9C-101B-9397-08002B2CF9AE}" pid="18" name="lcf76f155ced4ddcb4097134ff3c332f">
    <vt:lpwstr/>
  </property>
</Properties>
</file>